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28"/>
          <w:szCs w:val="28"/>
        </w:rPr>
      </w:pPr>
      <w:r>
        <w:rPr>
          <w:rFonts w:hint="eastAsia" w:ascii="宋体" w:hAnsi="宋体" w:cs="宋体"/>
          <w:sz w:val="28"/>
          <w:szCs w:val="28"/>
        </w:rPr>
        <w:t>南京邮电大学通达学院</w:t>
      </w:r>
      <w:r>
        <w:rPr>
          <w:rFonts w:hint="eastAsia" w:ascii="宋体" w:hAnsi="宋体" w:cs="宋体"/>
          <w:sz w:val="28"/>
          <w:szCs w:val="28"/>
          <w:lang w:val="en-US" w:eastAsia="zh-CN"/>
        </w:rPr>
        <w:t>大学生实践教学综合管理平台软件采购项目</w:t>
      </w: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ind w:firstLine="0"/>
        <w:jc w:val="center"/>
        <w:rPr>
          <w:rFonts w:hint="eastAsia" w:ascii="宋体" w:hAnsi="宋体" w:cs="宋体"/>
          <w:b/>
          <w:bCs/>
          <w:sz w:val="84"/>
        </w:rPr>
      </w:pPr>
    </w:p>
    <w:p>
      <w:pPr>
        <w:pStyle w:val="17"/>
        <w:ind w:firstLine="0"/>
        <w:jc w:val="center"/>
        <w:rPr>
          <w:rFonts w:hint="eastAsia" w:ascii="宋体" w:hAnsi="宋体" w:cs="宋体"/>
          <w:b/>
          <w:bCs/>
          <w:sz w:val="84"/>
        </w:rPr>
      </w:pPr>
      <w:r>
        <w:rPr>
          <w:rFonts w:hint="eastAsia" w:ascii="宋体" w:hAnsi="宋体" w:cs="宋体"/>
          <w:b/>
          <w:bCs/>
          <w:sz w:val="84"/>
        </w:rPr>
        <w:t>采 购 文 件</w:t>
      </w:r>
    </w:p>
    <w:p>
      <w:pPr>
        <w:pStyle w:val="17"/>
        <w:ind w:firstLine="0"/>
        <w:jc w:val="center"/>
        <w:rPr>
          <w:rFonts w:hint="eastAsia" w:ascii="宋体" w:hAnsi="宋体" w:cs="宋体"/>
          <w:b/>
          <w:bCs/>
          <w:sz w:val="32"/>
        </w:rPr>
      </w:pPr>
    </w:p>
    <w:p>
      <w:pPr>
        <w:pStyle w:val="17"/>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20026</w:t>
      </w:r>
    </w:p>
    <w:p>
      <w:pPr>
        <w:pStyle w:val="17"/>
        <w:ind w:firstLine="0"/>
        <w:jc w:val="center"/>
        <w:rPr>
          <w:rFonts w:hint="eastAsia" w:ascii="宋体" w:hAnsi="宋体" w:cs="宋体"/>
          <w:b/>
          <w:sz w:val="36"/>
          <w:szCs w:val="36"/>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7"/>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11</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479757206"/>
      <w:bookmarkStart w:id="2" w:name="_Toc523127445"/>
      <w:bookmarkStart w:id="3" w:name="_Toc513029200"/>
      <w:bookmarkStart w:id="4" w:name="_Toc16938516"/>
      <w:bookmarkStart w:id="5" w:name="_Toc20823272"/>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3"/>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3"/>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ind w:firstLine="420"/>
        <w:rPr>
          <w:rFonts w:hint="eastAsia" w:ascii="宋体" w:hAnsi="宋体" w:eastAsia="宋体" w:cs="宋体"/>
          <w:sz w:val="21"/>
          <w:szCs w:val="21"/>
        </w:rPr>
      </w:pPr>
      <w:bookmarkStart w:id="6" w:name="_Toc120614211"/>
      <w:r>
        <w:rPr>
          <w:rFonts w:hint="eastAsia"/>
          <w:sz w:val="21"/>
          <w:szCs w:val="21"/>
        </w:rPr>
        <w:t>根据国家招投标的法律法规和南京邮电大学的相关规</w:t>
      </w:r>
      <w:r>
        <w:rPr>
          <w:rFonts w:hint="eastAsia" w:ascii="宋体" w:hAnsi="宋体" w:eastAsia="宋体" w:cs="宋体"/>
          <w:sz w:val="21"/>
          <w:szCs w:val="21"/>
        </w:rPr>
        <w:t>定，现对南京邮电大学通达学院</w:t>
      </w:r>
      <w:r>
        <w:rPr>
          <w:rFonts w:hint="eastAsia" w:ascii="宋体" w:hAnsi="宋体" w:eastAsia="宋体" w:cs="宋体"/>
          <w:sz w:val="21"/>
          <w:szCs w:val="21"/>
          <w:lang w:val="en-US" w:eastAsia="zh-CN"/>
        </w:rPr>
        <w:t>大学生实践教学综合管理平台软件采购项目</w:t>
      </w:r>
      <w:r>
        <w:rPr>
          <w:rFonts w:hint="eastAsia" w:ascii="宋体" w:hAnsi="宋体" w:eastAsia="宋体" w:cs="宋体"/>
          <w:sz w:val="21"/>
          <w:szCs w:val="21"/>
        </w:rPr>
        <w:t>进行公开</w:t>
      </w:r>
      <w:r>
        <w:rPr>
          <w:rFonts w:hint="eastAsia" w:ascii="宋体" w:hAnsi="宋体" w:eastAsia="宋体" w:cs="宋体"/>
          <w:sz w:val="21"/>
          <w:szCs w:val="21"/>
          <w:lang w:eastAsia="zh-CN"/>
        </w:rPr>
        <w:t>采购</w:t>
      </w:r>
      <w:r>
        <w:rPr>
          <w:rFonts w:hint="eastAsia" w:ascii="宋体" w:hAnsi="宋体" w:eastAsia="宋体" w:cs="宋体"/>
          <w:sz w:val="21"/>
          <w:szCs w:val="21"/>
        </w:rPr>
        <w:t>采购，欢迎符合本次采购要求的企业参加投标。</w:t>
      </w:r>
    </w:p>
    <w:p>
      <w:pPr>
        <w:pStyle w:val="11"/>
        <w:shd w:val="clear" w:color="auto" w:fill="FFFFFF"/>
        <w:spacing w:before="0" w:beforeAutospacing="0" w:after="0" w:afterAutospacing="0"/>
        <w:ind w:firstLine="420"/>
        <w:rPr>
          <w:rFonts w:hint="eastAsia" w:ascii="宋体" w:hAnsi="宋体" w:eastAsia="宋体" w:cs="宋体"/>
          <w:sz w:val="21"/>
          <w:szCs w:val="21"/>
        </w:rPr>
      </w:pPr>
      <w:r>
        <w:rPr>
          <w:rFonts w:hint="eastAsia"/>
          <w:sz w:val="21"/>
          <w:szCs w:val="21"/>
          <w:lang w:eastAsia="zh-CN"/>
        </w:rPr>
        <w:t>一、</w:t>
      </w:r>
      <w:r>
        <w:rPr>
          <w:rFonts w:hint="eastAsia"/>
          <w:sz w:val="21"/>
          <w:szCs w:val="21"/>
        </w:rPr>
        <w:t>采购项目名称及编号：南京邮电大学通达</w:t>
      </w:r>
      <w:r>
        <w:rPr>
          <w:rFonts w:hint="eastAsia" w:ascii="宋体" w:hAnsi="宋体" w:eastAsia="宋体" w:cs="宋体"/>
          <w:sz w:val="21"/>
          <w:szCs w:val="21"/>
        </w:rPr>
        <w:t>学院</w:t>
      </w:r>
      <w:r>
        <w:rPr>
          <w:rFonts w:hint="eastAsia" w:ascii="宋体" w:hAnsi="宋体" w:eastAsia="宋体" w:cs="宋体"/>
          <w:sz w:val="21"/>
          <w:szCs w:val="21"/>
          <w:lang w:val="en-US" w:eastAsia="zh-CN"/>
        </w:rPr>
        <w:t>大学生实践教学综合管理平台软件采购项目</w:t>
      </w:r>
      <w:r>
        <w:rPr>
          <w:rFonts w:hint="eastAsia" w:ascii="宋体" w:hAnsi="宋体" w:eastAsia="宋体" w:cs="宋体"/>
          <w:sz w:val="21"/>
          <w:szCs w:val="21"/>
        </w:rPr>
        <w:t>。（项目编号TDHQ20</w:t>
      </w:r>
      <w:r>
        <w:rPr>
          <w:rFonts w:hint="eastAsia" w:ascii="宋体" w:hAnsi="宋体" w:eastAsia="宋体" w:cs="宋体"/>
          <w:sz w:val="21"/>
          <w:szCs w:val="21"/>
          <w:lang w:val="en-US" w:eastAsia="zh-CN"/>
        </w:rPr>
        <w:t>20026</w:t>
      </w:r>
      <w:r>
        <w:rPr>
          <w:rFonts w:hint="eastAsia" w:ascii="宋体" w:hAnsi="宋体" w:eastAsia="宋体" w:cs="宋体"/>
          <w:sz w:val="21"/>
          <w:szCs w:val="21"/>
        </w:rPr>
        <w:t>）</w:t>
      </w:r>
    </w:p>
    <w:p>
      <w:pPr>
        <w:pStyle w:val="11"/>
        <w:shd w:val="clear" w:color="auto" w:fill="FFFFFF"/>
        <w:spacing w:before="0" w:beforeAutospacing="0" w:after="0" w:afterAutospacing="0"/>
        <w:ind w:firstLine="420"/>
        <w:rPr>
          <w:rFonts w:hint="eastAsia"/>
          <w:sz w:val="21"/>
          <w:szCs w:val="21"/>
        </w:rPr>
      </w:pPr>
      <w:r>
        <w:rPr>
          <w:rFonts w:hint="eastAsia"/>
          <w:sz w:val="21"/>
          <w:szCs w:val="21"/>
          <w:lang w:eastAsia="zh-CN"/>
        </w:rPr>
        <w:t>二、</w:t>
      </w:r>
      <w:r>
        <w:rPr>
          <w:rFonts w:hint="eastAsia"/>
          <w:sz w:val="21"/>
          <w:szCs w:val="21"/>
        </w:rPr>
        <w:t>采购项目简要说明：1.南京邮电大学通达学院</w:t>
      </w:r>
      <w:bookmarkStart w:id="7" w:name="OLE_LINK1"/>
      <w:r>
        <w:rPr>
          <w:rFonts w:hint="eastAsia"/>
          <w:sz w:val="21"/>
          <w:szCs w:val="21"/>
        </w:rPr>
        <w:t>拟采购</w:t>
      </w:r>
      <w:bookmarkEnd w:id="7"/>
      <w:r>
        <w:rPr>
          <w:rFonts w:hint="eastAsia"/>
          <w:sz w:val="21"/>
          <w:szCs w:val="21"/>
        </w:rPr>
        <w:t>大学生毕业设计系统和大学生创新创业训练系统1套（具体采购数量及要求参见采购文件）。2.项目地点：扬州市润扬南路33号。3.技术条款咨询联系人：</w:t>
      </w:r>
      <w:r>
        <w:rPr>
          <w:rFonts w:hint="eastAsia"/>
          <w:sz w:val="21"/>
          <w:szCs w:val="21"/>
          <w:lang w:eastAsia="zh-CN"/>
        </w:rPr>
        <w:t>曹</w:t>
      </w:r>
      <w:r>
        <w:rPr>
          <w:rFonts w:hint="eastAsia"/>
          <w:sz w:val="21"/>
          <w:szCs w:val="21"/>
        </w:rPr>
        <w:t>老师 ，联系电话：15396750600。（注：如不咨询，视为已理解该技术指标。）</w:t>
      </w:r>
    </w:p>
    <w:p>
      <w:pPr>
        <w:pStyle w:val="11"/>
        <w:shd w:val="clear" w:color="auto" w:fill="FFFFFF"/>
        <w:spacing w:before="0" w:beforeAutospacing="0" w:after="0" w:afterAutospacing="0"/>
        <w:ind w:firstLine="420"/>
        <w:rPr>
          <w:rFonts w:hint="eastAsia"/>
          <w:sz w:val="21"/>
          <w:szCs w:val="21"/>
        </w:rPr>
      </w:pPr>
      <w:r>
        <w:rPr>
          <w:rFonts w:hint="eastAsia"/>
          <w:sz w:val="21"/>
          <w:szCs w:val="21"/>
          <w:lang w:eastAsia="zh-CN"/>
        </w:rPr>
        <w:t>三、</w:t>
      </w:r>
      <w:r>
        <w:rPr>
          <w:rFonts w:hint="eastAsia"/>
          <w:sz w:val="21"/>
          <w:szCs w:val="21"/>
        </w:rPr>
        <w:t>投标人资质要求:</w:t>
      </w:r>
    </w:p>
    <w:p>
      <w:pPr>
        <w:pStyle w:val="11"/>
        <w:shd w:val="clear" w:color="auto" w:fill="FFFFFF"/>
        <w:spacing w:before="0" w:beforeAutospacing="0" w:after="0" w:afterAutospacing="0"/>
        <w:ind w:firstLine="420"/>
        <w:rPr>
          <w:rFonts w:hint="eastAsia"/>
          <w:sz w:val="21"/>
          <w:szCs w:val="21"/>
        </w:rPr>
      </w:pPr>
      <w:r>
        <w:rPr>
          <w:rFonts w:hint="eastAsia"/>
          <w:sz w:val="21"/>
          <w:szCs w:val="21"/>
        </w:rPr>
        <w:t>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2</w:t>
      </w:r>
      <w:r>
        <w:rPr>
          <w:rFonts w:hint="eastAsia"/>
          <w:sz w:val="21"/>
          <w:szCs w:val="21"/>
        </w:rPr>
        <w:t>.软件制造商须具有计算机软件企业资质证书。</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3</w:t>
      </w:r>
      <w:r>
        <w:rPr>
          <w:rFonts w:hint="eastAsia"/>
          <w:sz w:val="21"/>
          <w:szCs w:val="21"/>
        </w:rPr>
        <w:t>.项目所含软件系统均须提供软件著作权证书。</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4</w:t>
      </w:r>
      <w:r>
        <w:rPr>
          <w:rFonts w:hint="eastAsia"/>
          <w:sz w:val="21"/>
          <w:szCs w:val="21"/>
        </w:rPr>
        <w:t>.须提供</w:t>
      </w:r>
      <w:r>
        <w:rPr>
          <w:rFonts w:hint="eastAsia"/>
          <w:sz w:val="21"/>
          <w:szCs w:val="21"/>
          <w:lang w:val="en-US" w:eastAsia="zh-CN"/>
        </w:rPr>
        <w:t>该系统近三年第三方权威机构软件安全检测</w:t>
      </w:r>
      <w:bookmarkStart w:id="56" w:name="_GoBack"/>
      <w:bookmarkEnd w:id="56"/>
      <w:r>
        <w:rPr>
          <w:rFonts w:hint="eastAsia"/>
          <w:sz w:val="21"/>
          <w:szCs w:val="21"/>
          <w:lang w:val="en-US" w:eastAsia="zh-CN"/>
        </w:rPr>
        <w:t>报告</w:t>
      </w:r>
      <w:r>
        <w:rPr>
          <w:rFonts w:hint="eastAsia"/>
          <w:sz w:val="21"/>
          <w:szCs w:val="21"/>
        </w:rPr>
        <w:t xml:space="preserve">。 </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5.</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6.</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7.</w:t>
      </w:r>
      <w:r>
        <w:rPr>
          <w:rFonts w:hint="eastAsia"/>
          <w:sz w:val="21"/>
          <w:szCs w:val="21"/>
        </w:rPr>
        <w:t>本项目不接受联合体投标。</w:t>
      </w:r>
    </w:p>
    <w:p>
      <w:pPr>
        <w:pStyle w:val="11"/>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1"/>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1"/>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1"/>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1"/>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1"/>
        <w:shd w:val="clear" w:color="auto" w:fill="FFFFFF"/>
        <w:spacing w:before="0" w:beforeAutospacing="0" w:after="0" w:afterAutospacing="0"/>
        <w:ind w:firstLine="420"/>
        <w:rPr>
          <w:rFonts w:hint="eastAsia"/>
          <w:sz w:val="21"/>
          <w:szCs w:val="21"/>
        </w:rPr>
      </w:pPr>
    </w:p>
    <w:p>
      <w:pPr>
        <w:pStyle w:val="11"/>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r>
        <w:rPr>
          <w:rFonts w:hint="eastAsia"/>
          <w:sz w:val="21"/>
          <w:szCs w:val="21"/>
        </w:rPr>
        <w:t xml:space="preserve">　        </w:t>
      </w:r>
    </w:p>
    <w:p>
      <w:pPr>
        <w:pStyle w:val="11"/>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二〇二〇年</w:t>
      </w:r>
      <w:r>
        <w:rPr>
          <w:rFonts w:hint="eastAsia"/>
          <w:sz w:val="21"/>
          <w:szCs w:val="21"/>
          <w:lang w:eastAsia="zh-CN"/>
        </w:rPr>
        <w:t>十一</w:t>
      </w:r>
      <w:r>
        <w:rPr>
          <w:rFonts w:hint="eastAsia"/>
          <w:sz w:val="21"/>
          <w:szCs w:val="21"/>
        </w:rPr>
        <w:t>月</w:t>
      </w:r>
      <w:r>
        <w:rPr>
          <w:rFonts w:hint="eastAsia"/>
          <w:sz w:val="21"/>
          <w:szCs w:val="21"/>
          <w:lang w:eastAsia="zh-CN"/>
        </w:rPr>
        <w:t>二十七</w:t>
      </w:r>
      <w:r>
        <w:rPr>
          <w:rFonts w:hint="eastAsia"/>
          <w:sz w:val="21"/>
          <w:szCs w:val="21"/>
        </w:rPr>
        <w:t>日</w:t>
      </w:r>
    </w:p>
    <w:p>
      <w:pPr>
        <w:pStyle w:val="11"/>
        <w:shd w:val="clear" w:color="auto" w:fill="FFFFFF"/>
        <w:spacing w:before="0" w:beforeAutospacing="0" w:after="0" w:afterAutospacing="0"/>
        <w:ind w:firstLine="420"/>
        <w:rPr>
          <w:rFonts w:hint="eastAsia"/>
          <w:sz w:val="21"/>
          <w:szCs w:val="21"/>
        </w:rPr>
      </w:pPr>
    </w:p>
    <w:p>
      <w:pPr>
        <w:pStyle w:val="3"/>
        <w:spacing w:line="300" w:lineRule="exact"/>
        <w:rPr>
          <w:rFonts w:hint="eastAsia" w:ascii="宋体" w:hAnsi="宋体" w:eastAsia="宋体" w:cs="宋体"/>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3"/>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16938518"/>
      <w:bookmarkStart w:id="9" w:name="_Toc20823274"/>
      <w:bookmarkStart w:id="10" w:name="_Toc513029202"/>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513029203"/>
      <w:bookmarkStart w:id="13" w:name="_Toc20823275"/>
      <w:bookmarkStart w:id="14" w:name="_Toc16938519"/>
      <w:bookmarkStart w:id="15" w:name="_Toc120614214"/>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479757207"/>
      <w:bookmarkStart w:id="17" w:name="_Toc513029242"/>
      <w:bookmarkStart w:id="18" w:name="_Toc20823314"/>
      <w:bookmarkStart w:id="19" w:name="_Toc120614221"/>
      <w:bookmarkStart w:id="20" w:name="_Toc16938558"/>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20823315"/>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4"/>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16938590"/>
      <w:bookmarkStart w:id="26" w:name="_Hlt16619350"/>
      <w:bookmarkStart w:id="27" w:name="_Toc120614244"/>
      <w:bookmarkStart w:id="28" w:name="_Toc20823346"/>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numPr>
          <w:ilvl w:val="0"/>
          <w:numId w:val="2"/>
        </w:numPr>
        <w:jc w:val="center"/>
        <w:rPr>
          <w:rFonts w:hint="eastAsia" w:ascii="宋体" w:hAnsi="宋体" w:cs="宋体"/>
          <w:bCs/>
          <w:sz w:val="44"/>
          <w:lang w:eastAsia="zh-CN"/>
        </w:rPr>
      </w:pPr>
      <w:r>
        <w:rPr>
          <w:rFonts w:hint="eastAsia" w:ascii="宋体" w:hAnsi="宋体" w:cs="宋体"/>
          <w:bCs/>
          <w:sz w:val="44"/>
        </w:rPr>
        <w:br w:type="page"/>
      </w:r>
      <w:r>
        <w:rPr>
          <w:rFonts w:hint="eastAsia" w:ascii="宋体" w:hAnsi="宋体" w:cs="宋体"/>
          <w:bCs/>
          <w:sz w:val="40"/>
          <w:szCs w:val="20"/>
          <w:lang w:val="en-US" w:eastAsia="zh-CN"/>
        </w:rPr>
        <w:t xml:space="preserve"> 大学生实践教学综合管理平台软件采购项目</w:t>
      </w:r>
    </w:p>
    <w:p>
      <w:pPr>
        <w:pStyle w:val="13"/>
        <w:rPr>
          <w:rFonts w:hint="eastAsia"/>
        </w:rPr>
      </w:pPr>
    </w:p>
    <w:p>
      <w:pPr>
        <w:numPr>
          <w:ilvl w:val="0"/>
          <w:numId w:val="3"/>
        </w:numPr>
        <w:spacing w:after="156" w:afterLines="50" w:line="360" w:lineRule="auto"/>
        <w:rPr>
          <w:rFonts w:ascii="Times New Roman" w:hAnsi="Times New Roman"/>
          <w:b/>
          <w:sz w:val="24"/>
        </w:rPr>
      </w:pPr>
      <w:r>
        <w:rPr>
          <w:rFonts w:ascii="Times New Roman"/>
          <w:b/>
          <w:sz w:val="24"/>
        </w:rPr>
        <w:t>项目简介</w:t>
      </w:r>
    </w:p>
    <w:p>
      <w:pPr>
        <w:pStyle w:val="13"/>
        <w:spacing w:after="0" w:line="360" w:lineRule="auto"/>
        <w:ind w:firstLine="480" w:firstLineChars="200"/>
        <w:rPr>
          <w:rFonts w:hint="eastAsia" w:ascii="Times New Roman" w:hAnsi="Times New Roman"/>
          <w:sz w:val="24"/>
        </w:rPr>
      </w:pPr>
      <w:r>
        <w:rPr>
          <w:rFonts w:hint="eastAsia" w:ascii="Times New Roman" w:hAnsi="Times New Roman"/>
          <w:sz w:val="24"/>
        </w:rPr>
        <w:t>大学生实践教学综合管理平台软件应包含大学生毕业设计系统、大学生创新创业训练项目管理两个子系统，既可单独构建应用，又可整合为一个多功能的系统平台，教师和学生登录后可以选择性操作两个子系统，选择相应的系统后可以直接登录到实践平台中。</w:t>
      </w:r>
    </w:p>
    <w:p>
      <w:pPr>
        <w:pStyle w:val="13"/>
        <w:spacing w:after="156" w:afterLines="50" w:line="360" w:lineRule="auto"/>
        <w:ind w:firstLine="480" w:firstLineChars="200"/>
        <w:rPr>
          <w:rFonts w:ascii="Times New Roman" w:hAnsi="Times New Roman"/>
          <w:sz w:val="24"/>
        </w:rPr>
      </w:pPr>
      <w:r>
        <w:rPr>
          <w:rFonts w:hint="eastAsia" w:ascii="Times New Roman" w:hAnsi="Times New Roman"/>
          <w:sz w:val="24"/>
        </w:rPr>
        <w:t>实践平台中的各个系统采用B/S架构，不需安装客户端即可使用，整个平台是开放式设计，系统的模块具有良好的扩展性，预留二次开发接口并方便对接校内其它系统，系统中的功能支持全流程操作，多层次的权限管理，各司其职、各取所需，可以实现对整个实践教学的全程监控，系统独立界面风格、个性化管理可以服务于教学与管理环节。</w:t>
      </w:r>
    </w:p>
    <w:p>
      <w:pPr>
        <w:pStyle w:val="13"/>
        <w:numPr>
          <w:ilvl w:val="0"/>
          <w:numId w:val="3"/>
        </w:numPr>
        <w:spacing w:after="0" w:line="360" w:lineRule="auto"/>
        <w:ind w:leftChars="0"/>
        <w:rPr>
          <w:rFonts w:ascii="Times New Roman" w:hAnsi="Times New Roman"/>
          <w:b/>
          <w:sz w:val="24"/>
        </w:rPr>
      </w:pPr>
      <w:r>
        <w:rPr>
          <w:rFonts w:ascii="Times New Roman"/>
          <w:b/>
          <w:sz w:val="24"/>
        </w:rPr>
        <w:t>技术要求</w:t>
      </w:r>
    </w:p>
    <w:p>
      <w:pPr>
        <w:spacing w:line="360" w:lineRule="auto"/>
        <w:rPr>
          <w:rFonts w:ascii="宋体" w:hAnsi="宋体"/>
          <w:b/>
          <w:color w:val="000000"/>
          <w:sz w:val="24"/>
        </w:rPr>
      </w:pPr>
      <w:r>
        <w:rPr>
          <w:rFonts w:hint="eastAsia" w:ascii="宋体" w:hAnsi="宋体"/>
          <w:b/>
          <w:color w:val="000000"/>
          <w:sz w:val="24"/>
        </w:rPr>
        <w:t>（一）软件系统</w:t>
      </w:r>
      <w:r>
        <w:rPr>
          <w:rFonts w:ascii="宋体" w:hAnsi="宋体"/>
          <w:b/>
          <w:color w:val="000000"/>
          <w:sz w:val="24"/>
        </w:rPr>
        <w:t>要求</w:t>
      </w:r>
    </w:p>
    <w:p>
      <w:pPr>
        <w:pStyle w:val="24"/>
        <w:rPr>
          <w:rFonts w:ascii="宋体" w:hAnsi="宋体"/>
          <w:szCs w:val="24"/>
        </w:rPr>
      </w:pPr>
      <w:r>
        <w:rPr>
          <w:rFonts w:hint="eastAsia" w:ascii="宋体" w:hAnsi="宋体"/>
          <w:szCs w:val="24"/>
        </w:rPr>
        <w:t>1.所有业务系统基于统一的用户界面设计，各业务系统做到完全无缝整合。</w:t>
      </w:r>
    </w:p>
    <w:p>
      <w:pPr>
        <w:pStyle w:val="24"/>
        <w:rPr>
          <w:rFonts w:ascii="宋体" w:hAnsi="宋体"/>
          <w:szCs w:val="24"/>
        </w:rPr>
      </w:pPr>
      <w:r>
        <w:rPr>
          <w:rFonts w:hint="eastAsia" w:ascii="宋体" w:hAnsi="宋体"/>
          <w:szCs w:val="24"/>
        </w:rPr>
        <w:t>2.所有业务系统需要是成熟产品，具备5年以上的用户经历，部分系统功能支持定制，全流程支持管理需要和师生持续使用。</w:t>
      </w:r>
    </w:p>
    <w:p>
      <w:pPr>
        <w:pStyle w:val="24"/>
        <w:rPr>
          <w:rFonts w:ascii="宋体" w:hAnsi="宋体"/>
          <w:szCs w:val="24"/>
        </w:rPr>
      </w:pPr>
      <w:r>
        <w:rPr>
          <w:rFonts w:hint="eastAsia" w:ascii="宋体" w:hAnsi="宋体"/>
          <w:szCs w:val="24"/>
        </w:rPr>
        <w:t>3.软件应基于 B/S 模式设计，方便易用。</w:t>
      </w:r>
    </w:p>
    <w:p>
      <w:pPr>
        <w:pStyle w:val="24"/>
        <w:rPr>
          <w:rFonts w:ascii="宋体" w:hAnsi="宋体"/>
          <w:szCs w:val="24"/>
        </w:rPr>
      </w:pPr>
      <w:r>
        <w:rPr>
          <w:rFonts w:hint="eastAsia" w:ascii="宋体" w:hAnsi="宋体"/>
          <w:szCs w:val="24"/>
        </w:rPr>
        <w:t>4.数据库支持Oracle、MSSQL等主流数据库。</w:t>
      </w:r>
    </w:p>
    <w:p>
      <w:pPr>
        <w:pStyle w:val="24"/>
        <w:rPr>
          <w:rFonts w:ascii="宋体" w:hAnsi="宋体"/>
          <w:szCs w:val="24"/>
        </w:rPr>
      </w:pPr>
      <w:r>
        <w:rPr>
          <w:rFonts w:hint="eastAsia" w:ascii="宋体" w:hAnsi="宋体"/>
          <w:szCs w:val="24"/>
        </w:rPr>
        <w:t>5.系统运行安全稳定，能够至少支持</w:t>
      </w:r>
      <w:r>
        <w:rPr>
          <w:rFonts w:ascii="宋体" w:hAnsi="宋体"/>
          <w:szCs w:val="24"/>
        </w:rPr>
        <w:t>5</w:t>
      </w:r>
      <w:r>
        <w:rPr>
          <w:rFonts w:hint="eastAsia" w:ascii="宋体" w:hAnsi="宋体"/>
          <w:szCs w:val="24"/>
        </w:rPr>
        <w:t>000用户，重荷响应时间不超过0.5秒。</w:t>
      </w:r>
    </w:p>
    <w:p>
      <w:pPr>
        <w:pStyle w:val="24"/>
        <w:rPr>
          <w:rFonts w:ascii="宋体" w:hAnsi="宋体"/>
          <w:szCs w:val="24"/>
        </w:rPr>
      </w:pPr>
      <w:r>
        <w:rPr>
          <w:rFonts w:hint="eastAsia" w:ascii="宋体" w:hAnsi="宋体"/>
          <w:szCs w:val="24"/>
        </w:rPr>
        <w:t>6.系统采用模块化设计，系统应具有良好的开放性和扩展性。应采用标准的业务流程管理引擎，支持用户流程自定义。</w:t>
      </w:r>
    </w:p>
    <w:p>
      <w:pPr>
        <w:pStyle w:val="24"/>
        <w:ind w:firstLine="0" w:firstLineChars="0"/>
        <w:rPr>
          <w:rFonts w:ascii="宋体" w:hAnsi="宋体"/>
          <w:szCs w:val="24"/>
        </w:rPr>
      </w:pPr>
      <w:r>
        <w:rPr>
          <w:rFonts w:hint="eastAsia" w:ascii="宋体" w:hAnsi="宋体"/>
          <w:b/>
          <w:color w:val="000000"/>
        </w:rPr>
        <w:t>（二）</w:t>
      </w:r>
      <w:r>
        <w:rPr>
          <w:rFonts w:hint="eastAsia" w:ascii="宋体" w:hAnsi="宋体"/>
          <w:b/>
          <w:color w:val="000000"/>
          <w:szCs w:val="24"/>
        </w:rPr>
        <w:t>权限设计要求</w:t>
      </w:r>
    </w:p>
    <w:p>
      <w:pPr>
        <w:pStyle w:val="24"/>
        <w:rPr>
          <w:rFonts w:ascii="宋体" w:hAnsi="宋体"/>
          <w:szCs w:val="24"/>
        </w:rPr>
      </w:pPr>
      <w:r>
        <w:rPr>
          <w:rFonts w:hint="eastAsia" w:ascii="宋体" w:hAnsi="宋体"/>
          <w:szCs w:val="24"/>
        </w:rPr>
        <w:t>1.系统需要基于角色的授权管理，方便灵活的对各级用户（不少于3级）进行授权。</w:t>
      </w:r>
    </w:p>
    <w:p>
      <w:pPr>
        <w:pStyle w:val="24"/>
        <w:rPr>
          <w:rFonts w:ascii="宋体" w:hAnsi="宋体"/>
          <w:szCs w:val="24"/>
        </w:rPr>
      </w:pPr>
      <w:r>
        <w:rPr>
          <w:rFonts w:hint="eastAsia" w:ascii="宋体" w:hAnsi="宋体"/>
          <w:szCs w:val="24"/>
        </w:rPr>
        <w:t>2.支持给每个用户的权限控制到具体的功能操作，如添加、修改、保存、删除、查询、导出、打印等。</w:t>
      </w:r>
    </w:p>
    <w:p>
      <w:pPr>
        <w:pStyle w:val="24"/>
        <w:rPr>
          <w:rFonts w:ascii="宋体" w:hAnsi="宋体"/>
          <w:szCs w:val="24"/>
        </w:rPr>
      </w:pPr>
      <w:r>
        <w:rPr>
          <w:rFonts w:hint="eastAsia" w:ascii="宋体" w:hAnsi="宋体"/>
          <w:szCs w:val="24"/>
        </w:rPr>
        <w:t>3.限制用户的管理行为到某一个或几个具体的单位。</w:t>
      </w:r>
    </w:p>
    <w:p>
      <w:pPr>
        <w:spacing w:line="360" w:lineRule="auto"/>
        <w:rPr>
          <w:rFonts w:ascii="宋体" w:hAnsi="宋体"/>
          <w:b/>
          <w:color w:val="000000"/>
          <w:sz w:val="24"/>
        </w:rPr>
      </w:pPr>
      <w:r>
        <w:rPr>
          <w:rFonts w:hint="eastAsia" w:ascii="宋体" w:hAnsi="宋体"/>
          <w:b/>
          <w:color w:val="000000"/>
          <w:sz w:val="24"/>
        </w:rPr>
        <w:t>（三）数据规范要求</w:t>
      </w:r>
    </w:p>
    <w:p>
      <w:pPr>
        <w:pStyle w:val="24"/>
        <w:rPr>
          <w:rFonts w:ascii="宋体" w:hAnsi="宋体"/>
          <w:szCs w:val="24"/>
        </w:rPr>
      </w:pPr>
      <w:r>
        <w:rPr>
          <w:rFonts w:hint="eastAsia" w:ascii="宋体" w:hAnsi="宋体"/>
          <w:szCs w:val="24"/>
        </w:rPr>
        <w:t>1.系统基于动态数据设计，具备数据自定义能力。</w:t>
      </w:r>
    </w:p>
    <w:p>
      <w:pPr>
        <w:pStyle w:val="24"/>
        <w:rPr>
          <w:rFonts w:ascii="宋体" w:hAnsi="宋体"/>
          <w:szCs w:val="24"/>
        </w:rPr>
      </w:pPr>
      <w:r>
        <w:rPr>
          <w:rFonts w:hint="eastAsia" w:ascii="宋体" w:hAnsi="宋体"/>
          <w:szCs w:val="24"/>
        </w:rPr>
        <w:t>2.基于教育部《学校管理信息标准》和相关GB数据标准设计。</w:t>
      </w:r>
    </w:p>
    <w:p>
      <w:pPr>
        <w:pStyle w:val="24"/>
        <w:rPr>
          <w:rFonts w:ascii="宋体" w:hAnsi="宋体"/>
          <w:szCs w:val="24"/>
        </w:rPr>
      </w:pPr>
      <w:r>
        <w:rPr>
          <w:rFonts w:hint="eastAsia" w:ascii="宋体" w:hAnsi="宋体"/>
          <w:szCs w:val="24"/>
        </w:rPr>
        <w:t>3.满足学校的基本数据规范和要求，满足我校数字化校园标准接口。</w:t>
      </w:r>
    </w:p>
    <w:p>
      <w:pPr>
        <w:pStyle w:val="24"/>
        <w:ind w:firstLine="0" w:firstLineChars="0"/>
        <w:rPr>
          <w:rFonts w:ascii="宋体" w:hAnsi="宋体"/>
          <w:szCs w:val="24"/>
        </w:rPr>
      </w:pPr>
      <w:r>
        <w:rPr>
          <w:rFonts w:hint="eastAsia" w:ascii="宋体" w:hAnsi="宋体"/>
          <w:b/>
          <w:color w:val="000000"/>
        </w:rPr>
        <w:t>（四）</w:t>
      </w:r>
      <w:r>
        <w:rPr>
          <w:rFonts w:hint="eastAsia" w:ascii="宋体" w:hAnsi="宋体"/>
          <w:b/>
          <w:color w:val="000000"/>
          <w:szCs w:val="24"/>
        </w:rPr>
        <w:t>跨系统信息整合要求</w:t>
      </w:r>
    </w:p>
    <w:p>
      <w:pPr>
        <w:pStyle w:val="24"/>
        <w:ind w:firstLine="240" w:firstLineChars="100"/>
        <w:rPr>
          <w:rFonts w:ascii="宋体" w:hAnsi="宋体"/>
          <w:szCs w:val="24"/>
        </w:rPr>
      </w:pPr>
      <w:r>
        <w:rPr>
          <w:rFonts w:hint="eastAsia" w:ascii="宋体" w:hAnsi="宋体"/>
          <w:szCs w:val="24"/>
        </w:rPr>
        <w:t>★1.为了保证项目的正常运行，要求平台软件与校园公共数据中心实现基础数据动态同步和共享，保证基础数据完全一致。</w:t>
      </w:r>
    </w:p>
    <w:p>
      <w:pPr>
        <w:pStyle w:val="24"/>
        <w:rPr>
          <w:rFonts w:ascii="宋体" w:hAnsi="宋体"/>
          <w:szCs w:val="24"/>
        </w:rPr>
      </w:pPr>
      <w:r>
        <w:rPr>
          <w:rFonts w:hint="eastAsia" w:ascii="宋体" w:hAnsi="宋体"/>
          <w:szCs w:val="24"/>
        </w:rPr>
        <w:t>2.为学校其他信息系统无偿提供数据接口。</w:t>
      </w:r>
    </w:p>
    <w:p>
      <w:pPr>
        <w:pStyle w:val="24"/>
        <w:rPr>
          <w:rFonts w:hint="eastAsia" w:ascii="宋体" w:hAnsi="宋体"/>
          <w:szCs w:val="24"/>
        </w:rPr>
      </w:pPr>
      <w:r>
        <w:rPr>
          <w:rFonts w:hint="eastAsia" w:ascii="宋体" w:hAnsi="宋体"/>
          <w:szCs w:val="24"/>
        </w:rPr>
        <w:t>3.供应商安排技术人员免费协助做好基础数据的对接、导入等工作。</w:t>
      </w:r>
    </w:p>
    <w:p>
      <w:pPr>
        <w:pStyle w:val="24"/>
        <w:rPr>
          <w:rFonts w:ascii="宋体" w:hAnsi="宋体"/>
          <w:szCs w:val="24"/>
        </w:rPr>
      </w:pPr>
      <w:r>
        <w:rPr>
          <w:rFonts w:hint="eastAsia" w:ascii="宋体" w:hAnsi="宋体"/>
          <w:szCs w:val="24"/>
        </w:rPr>
        <w:t>4.软件须与数字化校园统一门户集成，实现用户使用一套账号密码直接登录使用，永久免费开放软件单点登录接口和数据接口。</w:t>
      </w:r>
    </w:p>
    <w:p>
      <w:pPr>
        <w:pStyle w:val="24"/>
        <w:rPr>
          <w:rFonts w:ascii="宋体" w:hAnsi="宋体"/>
          <w:szCs w:val="24"/>
        </w:rPr>
      </w:pPr>
      <w:r>
        <w:rPr>
          <w:rFonts w:hint="eastAsia" w:ascii="宋体" w:hAnsi="宋体"/>
          <w:szCs w:val="24"/>
        </w:rPr>
        <w:t>5.软件必须预留后期开发接口，为后期升级和二次开发提供便利。</w:t>
      </w:r>
    </w:p>
    <w:p>
      <w:pPr>
        <w:spacing w:line="360" w:lineRule="auto"/>
        <w:rPr>
          <w:rFonts w:ascii="宋体" w:hAnsi="宋体"/>
          <w:b/>
          <w:color w:val="000000"/>
          <w:sz w:val="24"/>
        </w:rPr>
      </w:pPr>
      <w:r>
        <w:rPr>
          <w:rFonts w:hint="eastAsia" w:ascii="宋体" w:hAnsi="宋体"/>
          <w:b/>
          <w:color w:val="000000"/>
          <w:sz w:val="24"/>
        </w:rPr>
        <w:t>（五）</w:t>
      </w:r>
      <w:r>
        <w:rPr>
          <w:rFonts w:ascii="宋体" w:hAnsi="宋体"/>
          <w:b/>
          <w:color w:val="000000"/>
          <w:sz w:val="24"/>
        </w:rPr>
        <w:t>软件性能要求</w:t>
      </w:r>
    </w:p>
    <w:p>
      <w:pPr>
        <w:pStyle w:val="24"/>
        <w:rPr>
          <w:rFonts w:ascii="宋体" w:hAnsi="宋体"/>
          <w:szCs w:val="24"/>
        </w:rPr>
      </w:pPr>
      <w:r>
        <w:rPr>
          <w:rFonts w:ascii="宋体" w:hAnsi="宋体"/>
          <w:szCs w:val="24"/>
        </w:rPr>
        <w:t>业务系统应能保证响应及时性。受理业务时，各级用户与中心数据库响应和数据交换应在2秒内完成，一般统计、报表查询等应不超过5秒。后台数据批处理时间应在一小时内完成。数据中心数据库服务器应可以满足高峰期日处理数据量的要求。业务系统设计需要考虑数据和业务集中处理时的最大负荷状态。同时，对于今后的数据增长以及需求扩充，须保证系统有足够的扩展性。</w:t>
      </w:r>
    </w:p>
    <w:p>
      <w:pPr>
        <w:pStyle w:val="24"/>
        <w:rPr>
          <w:rFonts w:ascii="宋体" w:hAnsi="宋体"/>
          <w:szCs w:val="24"/>
        </w:rPr>
      </w:pPr>
      <w:r>
        <w:rPr>
          <w:rFonts w:hint="eastAsia" w:ascii="宋体" w:hAnsi="宋体"/>
          <w:szCs w:val="24"/>
        </w:rPr>
        <w:t>★</w:t>
      </w:r>
      <w:r>
        <w:rPr>
          <w:rFonts w:ascii="宋体" w:hAnsi="宋体"/>
          <w:szCs w:val="24"/>
        </w:rPr>
        <w:t>系统稳定运行，支持在线用户数不低于</w:t>
      </w:r>
      <w:r>
        <w:rPr>
          <w:rFonts w:hint="eastAsia" w:ascii="宋体" w:hAnsi="宋体"/>
          <w:szCs w:val="24"/>
        </w:rPr>
        <w:t>5</w:t>
      </w:r>
      <w:r>
        <w:rPr>
          <w:rFonts w:ascii="宋体" w:hAnsi="宋体"/>
          <w:szCs w:val="24"/>
        </w:rPr>
        <w:t>000人，不小于</w:t>
      </w:r>
      <w:r>
        <w:rPr>
          <w:rFonts w:hint="eastAsia" w:ascii="宋体" w:hAnsi="宋体"/>
          <w:szCs w:val="24"/>
        </w:rPr>
        <w:t>5</w:t>
      </w:r>
      <w:r>
        <w:rPr>
          <w:rFonts w:ascii="宋体" w:hAnsi="宋体"/>
          <w:szCs w:val="24"/>
        </w:rPr>
        <w:t>00并发数</w:t>
      </w:r>
      <w:r>
        <w:rPr>
          <w:rFonts w:hint="eastAsia" w:ascii="宋体" w:hAnsi="宋体"/>
          <w:szCs w:val="24"/>
        </w:rPr>
        <w:t>，在系统使用高峰器，可以保证在同一个时间范围内，在线用户与服务器上运行的系统进行交互的数量不小于500个用户。由于系统是B/S 模式，用户并发数的大小也依据服务器所配置的资源情况，在适当的服务器资源条件下，可以支持大于5000人的在线用户数</w:t>
      </w:r>
      <w:r>
        <w:rPr>
          <w:rFonts w:ascii="宋体" w:hAnsi="宋体"/>
          <w:szCs w:val="24"/>
        </w:rPr>
        <w:t>。</w:t>
      </w:r>
    </w:p>
    <w:p>
      <w:pPr>
        <w:pStyle w:val="24"/>
        <w:ind w:firstLine="0" w:firstLineChars="0"/>
        <w:rPr>
          <w:rFonts w:hint="eastAsia" w:ascii="宋体" w:hAnsi="宋体" w:eastAsia="宋体"/>
          <w:b/>
          <w:szCs w:val="24"/>
          <w:lang w:eastAsia="zh-CN"/>
        </w:rPr>
      </w:pPr>
      <w:r>
        <w:rPr>
          <w:rFonts w:hint="eastAsia" w:ascii="宋体" w:hAnsi="宋体"/>
          <w:b/>
          <w:szCs w:val="24"/>
        </w:rPr>
        <w:t>（六）各子系统要求</w:t>
      </w:r>
    </w:p>
    <w:p>
      <w:pPr>
        <w:pStyle w:val="24"/>
        <w:rPr>
          <w:rFonts w:hint="eastAsia" w:ascii="宋体" w:hAnsi="宋体"/>
          <w:szCs w:val="24"/>
        </w:rPr>
      </w:pPr>
      <w:r>
        <w:rPr>
          <w:rFonts w:hint="eastAsia" w:ascii="宋体" w:hAnsi="宋体"/>
          <w:szCs w:val="24"/>
        </w:rPr>
        <w:t>大学生实践教学综合管理平台软件包含以下两个子系统：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3373"/>
        <w:gridCol w:w="11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center"/>
          </w:tcPr>
          <w:p>
            <w:pPr>
              <w:tabs>
                <w:tab w:val="left" w:pos="360"/>
              </w:tabs>
              <w:jc w:val="center"/>
              <w:rPr>
                <w:b/>
                <w:bCs/>
                <w:sz w:val="24"/>
              </w:rPr>
            </w:pPr>
            <w:r>
              <w:rPr>
                <w:rFonts w:hAnsi="宋体"/>
                <w:b/>
                <w:bCs/>
                <w:sz w:val="24"/>
              </w:rPr>
              <w:t>序号</w:t>
            </w:r>
          </w:p>
        </w:tc>
        <w:tc>
          <w:tcPr>
            <w:tcW w:w="3373" w:type="dxa"/>
            <w:noWrap w:val="0"/>
            <w:vAlign w:val="center"/>
          </w:tcPr>
          <w:p>
            <w:pPr>
              <w:tabs>
                <w:tab w:val="left" w:pos="360"/>
              </w:tabs>
              <w:jc w:val="center"/>
              <w:rPr>
                <w:b/>
                <w:bCs/>
                <w:sz w:val="24"/>
              </w:rPr>
            </w:pPr>
            <w:r>
              <w:rPr>
                <w:rFonts w:hint="eastAsia" w:hAnsi="宋体"/>
                <w:b/>
                <w:bCs/>
                <w:sz w:val="24"/>
              </w:rPr>
              <w:t>设备名称</w:t>
            </w:r>
          </w:p>
        </w:tc>
        <w:tc>
          <w:tcPr>
            <w:tcW w:w="1134" w:type="dxa"/>
            <w:noWrap w:val="0"/>
            <w:vAlign w:val="center"/>
          </w:tcPr>
          <w:p>
            <w:pPr>
              <w:tabs>
                <w:tab w:val="left" w:pos="360"/>
              </w:tabs>
              <w:jc w:val="center"/>
              <w:rPr>
                <w:b/>
                <w:bCs/>
                <w:sz w:val="24"/>
              </w:rPr>
            </w:pPr>
            <w:r>
              <w:rPr>
                <w:rFonts w:hAnsi="宋体"/>
                <w:b/>
                <w:bCs/>
                <w:sz w:val="24"/>
              </w:rPr>
              <w:t>台套数</w:t>
            </w:r>
          </w:p>
          <w:p>
            <w:pPr>
              <w:tabs>
                <w:tab w:val="left" w:pos="360"/>
              </w:tabs>
              <w:jc w:val="center"/>
              <w:rPr>
                <w:b/>
                <w:bCs/>
                <w:sz w:val="24"/>
              </w:rPr>
            </w:pPr>
            <w:r>
              <w:rPr>
                <w:b/>
                <w:bCs/>
                <w:sz w:val="24"/>
              </w:rPr>
              <w:t>(</w:t>
            </w:r>
            <w:r>
              <w:rPr>
                <w:rFonts w:hint="eastAsia"/>
                <w:b/>
                <w:bCs/>
                <w:sz w:val="24"/>
              </w:rPr>
              <w:t>台/</w:t>
            </w:r>
            <w:r>
              <w:rPr>
                <w:rFonts w:hAnsi="宋体"/>
                <w:b/>
                <w:bCs/>
                <w:sz w:val="24"/>
              </w:rPr>
              <w:t>套</w:t>
            </w:r>
            <w:r>
              <w:rPr>
                <w:b/>
                <w:bCs/>
                <w:sz w:val="24"/>
              </w:rPr>
              <w:t>)</w:t>
            </w:r>
          </w:p>
        </w:tc>
        <w:tc>
          <w:tcPr>
            <w:tcW w:w="2695" w:type="dxa"/>
            <w:noWrap w:val="0"/>
            <w:vAlign w:val="center"/>
          </w:tcPr>
          <w:p>
            <w:pPr>
              <w:tabs>
                <w:tab w:val="left" w:pos="360"/>
              </w:tabs>
              <w:jc w:val="center"/>
              <w:rPr>
                <w:b/>
                <w:bCs/>
                <w:sz w:val="24"/>
              </w:rPr>
            </w:pPr>
            <w:r>
              <w:rPr>
                <w:rFonts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32" w:type="dxa"/>
            <w:noWrap w:val="0"/>
            <w:vAlign w:val="center"/>
          </w:tcPr>
          <w:p>
            <w:pPr>
              <w:tabs>
                <w:tab w:val="left" w:pos="360"/>
              </w:tabs>
              <w:spacing w:line="360" w:lineRule="auto"/>
              <w:jc w:val="center"/>
              <w:rPr>
                <w:b/>
                <w:bCs/>
              </w:rPr>
            </w:pPr>
            <w:r>
              <w:rPr>
                <w:b/>
                <w:bCs/>
              </w:rPr>
              <w:t>1</w:t>
            </w:r>
          </w:p>
        </w:tc>
        <w:tc>
          <w:tcPr>
            <w:tcW w:w="3373" w:type="dxa"/>
            <w:noWrap w:val="0"/>
            <w:vAlign w:val="center"/>
          </w:tcPr>
          <w:p>
            <w:pPr>
              <w:tabs>
                <w:tab w:val="left" w:pos="360"/>
              </w:tabs>
              <w:spacing w:line="360" w:lineRule="auto"/>
              <w:jc w:val="center"/>
              <w:rPr>
                <w:rFonts w:hint="eastAsia" w:hAnsi="宋体"/>
                <w:b/>
                <w:bCs/>
              </w:rPr>
            </w:pPr>
            <w:r>
              <w:rPr>
                <w:rFonts w:hint="eastAsia" w:ascii="Times New Roman" w:hAnsi="Times New Roman"/>
                <w:sz w:val="24"/>
              </w:rPr>
              <w:t>大学生毕业设计系统</w:t>
            </w:r>
          </w:p>
        </w:tc>
        <w:tc>
          <w:tcPr>
            <w:tcW w:w="1134" w:type="dxa"/>
            <w:noWrap w:val="0"/>
            <w:vAlign w:val="center"/>
          </w:tcPr>
          <w:p>
            <w:pPr>
              <w:tabs>
                <w:tab w:val="left" w:pos="360"/>
              </w:tabs>
              <w:spacing w:line="360" w:lineRule="auto"/>
              <w:jc w:val="center"/>
              <w:rPr>
                <w:b/>
                <w:bCs/>
              </w:rPr>
            </w:pPr>
            <w:r>
              <w:rPr>
                <w:rFonts w:hint="eastAsia"/>
                <w:b/>
                <w:bCs/>
              </w:rPr>
              <w:t>1</w:t>
            </w:r>
          </w:p>
        </w:tc>
        <w:tc>
          <w:tcPr>
            <w:tcW w:w="2695" w:type="dxa"/>
            <w:noWrap w:val="0"/>
            <w:vAlign w:val="center"/>
          </w:tcPr>
          <w:p>
            <w:pPr>
              <w:tabs>
                <w:tab w:val="left" w:pos="360"/>
              </w:tabs>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32" w:type="dxa"/>
            <w:noWrap w:val="0"/>
            <w:vAlign w:val="center"/>
          </w:tcPr>
          <w:p>
            <w:pPr>
              <w:tabs>
                <w:tab w:val="left" w:pos="360"/>
              </w:tabs>
              <w:spacing w:line="360" w:lineRule="auto"/>
              <w:jc w:val="center"/>
              <w:rPr>
                <w:b/>
                <w:bCs/>
              </w:rPr>
            </w:pPr>
            <w:r>
              <w:rPr>
                <w:rFonts w:hint="eastAsia"/>
                <w:b/>
                <w:bCs/>
              </w:rPr>
              <w:t>2</w:t>
            </w:r>
          </w:p>
        </w:tc>
        <w:tc>
          <w:tcPr>
            <w:tcW w:w="3373" w:type="dxa"/>
            <w:noWrap w:val="0"/>
            <w:vAlign w:val="center"/>
          </w:tcPr>
          <w:p>
            <w:pPr>
              <w:tabs>
                <w:tab w:val="left" w:pos="360"/>
              </w:tabs>
              <w:spacing w:line="360" w:lineRule="auto"/>
              <w:jc w:val="center"/>
              <w:rPr>
                <w:b/>
                <w:bCs/>
              </w:rPr>
            </w:pPr>
            <w:r>
              <w:rPr>
                <w:rFonts w:hint="eastAsia" w:ascii="Times New Roman" w:hAnsi="Times New Roman"/>
                <w:sz w:val="24"/>
              </w:rPr>
              <w:t>大学生创新创业训练项目系统</w:t>
            </w:r>
          </w:p>
        </w:tc>
        <w:tc>
          <w:tcPr>
            <w:tcW w:w="1134" w:type="dxa"/>
            <w:noWrap w:val="0"/>
            <w:vAlign w:val="center"/>
          </w:tcPr>
          <w:p>
            <w:pPr>
              <w:tabs>
                <w:tab w:val="left" w:pos="360"/>
              </w:tabs>
              <w:spacing w:line="360" w:lineRule="auto"/>
              <w:jc w:val="center"/>
              <w:rPr>
                <w:b/>
                <w:bCs/>
              </w:rPr>
            </w:pPr>
            <w:r>
              <w:rPr>
                <w:b/>
                <w:bCs/>
              </w:rPr>
              <w:t>1</w:t>
            </w:r>
          </w:p>
        </w:tc>
        <w:tc>
          <w:tcPr>
            <w:tcW w:w="2695" w:type="dxa"/>
            <w:noWrap w:val="0"/>
            <w:vAlign w:val="center"/>
          </w:tcPr>
          <w:p>
            <w:pPr>
              <w:tabs>
                <w:tab w:val="left" w:pos="360"/>
              </w:tabs>
              <w:spacing w:line="360" w:lineRule="auto"/>
              <w:jc w:val="center"/>
              <w:rPr>
                <w:b/>
                <w:bCs/>
              </w:rPr>
            </w:pPr>
          </w:p>
        </w:tc>
      </w:tr>
    </w:tbl>
    <w:p>
      <w:pPr>
        <w:pStyle w:val="24"/>
        <w:rPr>
          <w:rFonts w:hint="eastAsia" w:ascii="宋体" w:hAnsi="宋体"/>
          <w:bCs/>
          <w:szCs w:val="24"/>
        </w:rPr>
      </w:pPr>
      <w:r>
        <w:rPr>
          <w:rFonts w:hint="eastAsia" w:ascii="宋体" w:hAnsi="宋体"/>
          <w:bCs/>
          <w:szCs w:val="24"/>
        </w:rPr>
        <w:t>每个子系统要求如下：</w:t>
      </w:r>
    </w:p>
    <w:p>
      <w:pPr>
        <w:pStyle w:val="13"/>
        <w:spacing w:before="156" w:beforeLines="50" w:after="240"/>
        <w:ind w:left="0" w:leftChars="0" w:firstLine="0"/>
        <w:rPr>
          <w:rFonts w:ascii="宋体" w:hAnsi="宋体"/>
          <w:b/>
          <w:bCs/>
          <w:sz w:val="24"/>
        </w:rPr>
      </w:pPr>
      <w:r>
        <w:rPr>
          <w:rFonts w:hint="eastAsia" w:ascii="宋体" w:hAnsi="宋体"/>
          <w:b/>
          <w:bCs/>
          <w:sz w:val="24"/>
        </w:rPr>
        <w:t>1．大学生毕业设计系统</w:t>
      </w:r>
    </w:p>
    <w:p>
      <w:pPr>
        <w:widowControl/>
        <w:adjustRightInd w:val="0"/>
        <w:snapToGrid w:val="0"/>
        <w:spacing w:line="360" w:lineRule="auto"/>
        <w:ind w:firstLine="480" w:firstLineChars="200"/>
        <w:rPr>
          <w:rFonts w:ascii="宋体" w:hAnsi="宋体"/>
          <w:bCs/>
          <w:sz w:val="24"/>
        </w:rPr>
      </w:pPr>
      <w:r>
        <w:rPr>
          <w:rFonts w:ascii="宋体" w:hAnsi="宋体"/>
          <w:bCs/>
          <w:sz w:val="24"/>
        </w:rPr>
        <w:t>系统采用B/S架构，具有良好的扩展性，可支持五万人同时在线使用，应能满足我校未来五到十年的应用需求；</w:t>
      </w:r>
      <w:r>
        <w:rPr>
          <w:rFonts w:ascii="宋体" w:hAnsi="宋体"/>
          <w:sz w:val="24"/>
        </w:rPr>
        <w:t>★</w:t>
      </w:r>
      <w:r>
        <w:rPr>
          <w:rFonts w:ascii="宋体" w:hAnsi="宋体"/>
          <w:bCs/>
          <w:sz w:val="24"/>
        </w:rPr>
        <w:t>支持学生三个志愿的选题，具有各类数据设定、统计及查询功能，自动生成多种格式的表单打印。具有对毕业设计（论文）整个工作流程的管理功能，工作流程包括：时间设定、申报（审核）课题、学生选题（审核）、指导教师下达任务书、学生提交开题报告、学生书写论文草稿、论文写作、论文上报、论文评阅、论文答辩、成绩评定、校内抽检评优、汇总查询、报表打印、</w:t>
      </w:r>
      <w:r>
        <w:rPr>
          <w:rFonts w:ascii="宋体" w:hAnsi="宋体"/>
          <w:sz w:val="24"/>
        </w:rPr>
        <w:t>数据备份和归档功能，支持对多届数据的管理</w:t>
      </w:r>
      <w:r>
        <w:rPr>
          <w:rFonts w:ascii="宋体" w:hAnsi="宋体"/>
          <w:bCs/>
          <w:sz w:val="24"/>
        </w:rPr>
        <w:t>。</w:t>
      </w:r>
      <w:r>
        <w:rPr>
          <w:rFonts w:hint="eastAsia" w:ascii="宋体" w:hAnsi="宋体"/>
          <w:sz w:val="24"/>
        </w:rPr>
        <w:t>利用信息化手段提升教学管理水平满足PC端</w:t>
      </w:r>
      <w:r>
        <w:rPr>
          <w:rFonts w:ascii="宋体" w:hAnsi="宋体"/>
          <w:sz w:val="24"/>
        </w:rPr>
        <w:t>及移动手机端</w:t>
      </w:r>
      <w:r>
        <w:rPr>
          <w:rFonts w:hint="eastAsia" w:ascii="宋体" w:hAnsi="宋体"/>
          <w:sz w:val="24"/>
        </w:rPr>
        <w:t>登录。</w:t>
      </w:r>
      <w:r>
        <w:rPr>
          <w:rFonts w:ascii="宋体" w:hAnsi="宋体"/>
          <w:bCs/>
          <w:sz w:val="24"/>
        </w:rPr>
        <w:t>具体工作流程说明：</w:t>
      </w:r>
    </w:p>
    <w:p>
      <w:pPr>
        <w:widowControl/>
        <w:adjustRightInd w:val="0"/>
        <w:snapToGrid w:val="0"/>
        <w:spacing w:before="156" w:beforeLines="50" w:line="360" w:lineRule="auto"/>
        <w:ind w:firstLine="480" w:firstLineChars="200"/>
        <w:rPr>
          <w:rFonts w:ascii="宋体" w:hAnsi="宋体"/>
          <w:sz w:val="24"/>
        </w:rPr>
      </w:pPr>
      <w:r>
        <w:rPr>
          <w:rFonts w:ascii="宋体" w:hAnsi="宋体"/>
          <w:sz w:val="24"/>
        </w:rPr>
        <w:t>第一步：指导教师申报课题（可以多名指导教师带一个题），填写“毕业设计（论文）课题申报表”</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第二步：专业负责人或教研室主任审核课题</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第三步：学生选题（两种情况：1.指导教师申报课题时指定学生； 2.盲选 学生选择课题---教师同意---专业负责人或教研室主任确认）</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第四步：指导教师填写“毕业设计（论文）任务书”；专业负责人或教研室主任进行审核</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第五步：学生填写“毕业设计（论文）开题报告”；指导教师进行审核---专业负责人或教研室主任再审核</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第六步：指导老师进行设计（论文）指导，指导老师填写“毕业设计（论文）指导手册”，学生查看指导手册，按指导老师要求进行毕业设计（论文）</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第七步：学生提交中期报告；指导教师对学生提交的中期报告进行审核、评价</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第八步：学生提交中期报告后，学院进行中期检查，进行等级评定并提交中期小结。</w:t>
      </w:r>
    </w:p>
    <w:p>
      <w:pPr>
        <w:widowControl/>
        <w:adjustRightInd w:val="0"/>
        <w:snapToGrid w:val="0"/>
        <w:spacing w:line="360" w:lineRule="auto"/>
        <w:ind w:firstLine="480" w:firstLineChars="200"/>
        <w:rPr>
          <w:rFonts w:hint="eastAsia" w:ascii="宋体" w:hAnsi="宋体"/>
          <w:sz w:val="24"/>
        </w:rPr>
      </w:pPr>
      <w:r>
        <w:rPr>
          <w:rFonts w:ascii="宋体" w:hAnsi="宋体"/>
          <w:sz w:val="24"/>
        </w:rPr>
        <w:t>第</w:t>
      </w:r>
      <w:r>
        <w:rPr>
          <w:rFonts w:hint="eastAsia" w:ascii="宋体" w:hAnsi="宋体"/>
          <w:sz w:val="24"/>
        </w:rPr>
        <w:t>九</w:t>
      </w:r>
      <w:r>
        <w:rPr>
          <w:rFonts w:ascii="宋体" w:hAnsi="宋体"/>
          <w:sz w:val="24"/>
        </w:rPr>
        <w:t>步</w:t>
      </w:r>
      <w:r>
        <w:rPr>
          <w:rFonts w:hint="eastAsia" w:ascii="宋体" w:hAnsi="宋体"/>
          <w:sz w:val="24"/>
        </w:rPr>
        <w:t>：</w:t>
      </w:r>
      <w:r>
        <w:rPr>
          <w:rFonts w:ascii="宋体" w:hAnsi="宋体"/>
          <w:sz w:val="24"/>
        </w:rPr>
        <w:t>学生提交外文译文</w:t>
      </w:r>
      <w:r>
        <w:rPr>
          <w:rFonts w:hint="eastAsia" w:ascii="宋体" w:hAnsi="宋体"/>
          <w:sz w:val="24"/>
        </w:rPr>
        <w:t>，</w:t>
      </w:r>
      <w:r>
        <w:rPr>
          <w:rFonts w:ascii="宋体" w:hAnsi="宋体"/>
          <w:sz w:val="24"/>
        </w:rPr>
        <w:t>指导</w:t>
      </w:r>
      <w:r>
        <w:rPr>
          <w:rFonts w:hint="eastAsia" w:ascii="宋体" w:hAnsi="宋体"/>
          <w:sz w:val="24"/>
        </w:rPr>
        <w:t>教师</w:t>
      </w:r>
      <w:r>
        <w:rPr>
          <w:rFonts w:ascii="宋体" w:hAnsi="宋体"/>
          <w:sz w:val="24"/>
        </w:rPr>
        <w:t>进行审核</w:t>
      </w:r>
      <w:r>
        <w:rPr>
          <w:rFonts w:hint="eastAsia" w:ascii="宋体" w:hAnsi="宋体"/>
          <w:sz w:val="24"/>
        </w:rPr>
        <w:t>，提交的外文翻译支持译文和原文以附件形式上传。</w:t>
      </w:r>
    </w:p>
    <w:p>
      <w:pPr>
        <w:widowControl/>
        <w:adjustRightInd w:val="0"/>
        <w:snapToGrid w:val="0"/>
        <w:spacing w:line="360" w:lineRule="auto"/>
        <w:ind w:firstLine="480" w:firstLineChars="200"/>
        <w:rPr>
          <w:rFonts w:ascii="宋体" w:hAnsi="宋体"/>
          <w:sz w:val="24"/>
        </w:rPr>
      </w:pPr>
      <w:r>
        <w:rPr>
          <w:rFonts w:ascii="宋体" w:hAnsi="宋体"/>
          <w:sz w:val="24"/>
        </w:rPr>
        <w:t>第</w:t>
      </w:r>
      <w:r>
        <w:rPr>
          <w:rFonts w:hint="eastAsia" w:ascii="宋体" w:hAnsi="宋体"/>
          <w:sz w:val="24"/>
        </w:rPr>
        <w:t>十</w:t>
      </w:r>
      <w:r>
        <w:rPr>
          <w:rFonts w:ascii="宋体" w:hAnsi="宋体"/>
          <w:sz w:val="24"/>
        </w:rPr>
        <w:t>步：学生撰写论文初稿；指导教师进行审核并提出修改意见，学生按指导老师要求修改毕业设计（论文）</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第十一步：学生提交论文，指导教师审核，并填写“毕业设计（论文）指导教师评阅表”。</w:t>
      </w:r>
    </w:p>
    <w:p>
      <w:pPr>
        <w:widowControl/>
        <w:adjustRightInd w:val="0"/>
        <w:snapToGrid w:val="0"/>
        <w:spacing w:line="360" w:lineRule="auto"/>
        <w:ind w:firstLine="480" w:firstLineChars="200"/>
        <w:rPr>
          <w:rFonts w:ascii="宋体" w:hAnsi="宋体"/>
          <w:sz w:val="24"/>
        </w:rPr>
      </w:pPr>
      <w:r>
        <w:rPr>
          <w:rFonts w:ascii="宋体" w:hAnsi="宋体"/>
          <w:sz w:val="24"/>
        </w:rPr>
        <w:t xml:space="preserve">第十二步：学院教学秘书分配评阅教师和答辩教师，安排答辩分组（学院提交答辩委员会成员及答辩安排） </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第十三步：评阅教师审阅论文，并填写“毕业设计（论文）评阅表”。</w:t>
      </w:r>
    </w:p>
    <w:p>
      <w:pPr>
        <w:widowControl/>
        <w:adjustRightInd w:val="0"/>
        <w:snapToGrid w:val="0"/>
        <w:spacing w:line="360" w:lineRule="auto"/>
        <w:ind w:firstLine="480" w:firstLineChars="200"/>
        <w:rPr>
          <w:rFonts w:ascii="宋体" w:hAnsi="宋体"/>
          <w:sz w:val="24"/>
        </w:rPr>
      </w:pPr>
      <w:r>
        <w:rPr>
          <w:rFonts w:ascii="宋体" w:hAnsi="宋体"/>
          <w:sz w:val="24"/>
        </w:rPr>
        <w:t>第十四步：答辩分组秘书录入论文答辩成绩，答辩组长审核签字（可以附件上传“毕业设计（论文）答辩及综合成绩评定表”）</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第十五步：专业负责人或教研室主任进行成绩总评（系统自动按比例计算）、审核，并最终发布成绩</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第十六步：论文校内抽检评优</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系统管理员管理专家库，添加专家时分配评审对应专业（可一对多）</w:t>
      </w:r>
      <w:r>
        <w:rPr>
          <w:rFonts w:hint="eastAsia" w:ascii="宋体" w:hAnsi="宋体"/>
          <w:sz w:val="24"/>
        </w:rPr>
        <w:t>，</w:t>
      </w:r>
      <w:r>
        <w:rPr>
          <w:rFonts w:ascii="宋体" w:hAnsi="宋体"/>
          <w:sz w:val="24"/>
        </w:rPr>
        <w:t>按一定规则及数量比例抽出论文（也可指定），专家进行评审，得出抽检意见</w:t>
      </w:r>
      <w:r>
        <w:rPr>
          <w:rFonts w:hint="eastAsia" w:ascii="宋体" w:hAnsi="宋体"/>
          <w:sz w:val="24"/>
        </w:rPr>
        <w:t>。</w:t>
      </w:r>
      <w:r>
        <w:rPr>
          <w:rFonts w:ascii="宋体" w:hAnsi="宋体"/>
          <w:sz w:val="24"/>
        </w:rPr>
        <w:t>各个学院推荐所在学院的优秀论文（比例由教务处动态设定）设置打分规则</w:t>
      </w:r>
      <w:r>
        <w:rPr>
          <w:rFonts w:hint="eastAsia" w:ascii="宋体" w:hAnsi="宋体"/>
          <w:sz w:val="24"/>
        </w:rPr>
        <w:t>。</w:t>
      </w:r>
      <w:r>
        <w:rPr>
          <w:rFonts w:ascii="宋体" w:hAnsi="宋体"/>
          <w:sz w:val="24"/>
        </w:rPr>
        <w:t>专家对这些优秀论文按所属专业进行评审，填写专家推荐意见。</w:t>
      </w:r>
    </w:p>
    <w:p>
      <w:pPr>
        <w:spacing w:line="360" w:lineRule="auto"/>
        <w:ind w:firstLine="480" w:firstLineChars="200"/>
        <w:rPr>
          <w:rFonts w:hint="eastAsia" w:ascii="宋体" w:hAnsi="宋体"/>
          <w:sz w:val="24"/>
        </w:rPr>
      </w:pPr>
      <w:r>
        <w:rPr>
          <w:rFonts w:ascii="宋体" w:hAnsi="宋体"/>
          <w:sz w:val="24"/>
        </w:rPr>
        <w:t>第十</w:t>
      </w:r>
      <w:r>
        <w:rPr>
          <w:rFonts w:hint="eastAsia" w:ascii="宋体" w:hAnsi="宋体"/>
          <w:sz w:val="24"/>
        </w:rPr>
        <w:t>七</w:t>
      </w:r>
      <w:r>
        <w:rPr>
          <w:rFonts w:ascii="宋体" w:hAnsi="宋体"/>
          <w:sz w:val="24"/>
        </w:rPr>
        <w:t>步：各学院提交毕业设计（论文）工作总结（支持附件上传）</w:t>
      </w:r>
      <w:r>
        <w:rPr>
          <w:rFonts w:hint="eastAsia" w:ascii="宋体" w:hAnsi="宋体"/>
          <w:sz w:val="24"/>
        </w:rPr>
        <w:t>。</w:t>
      </w:r>
    </w:p>
    <w:p>
      <w:pPr>
        <w:spacing w:line="360" w:lineRule="auto"/>
        <w:ind w:firstLine="482" w:firstLineChars="200"/>
        <w:rPr>
          <w:rFonts w:ascii="Times New Roman" w:hAnsi="Times New Roman"/>
          <w:b/>
          <w:bCs/>
          <w:sz w:val="24"/>
        </w:rPr>
      </w:pPr>
      <w:r>
        <w:rPr>
          <w:rFonts w:hint="eastAsia" w:ascii="Times New Roman" w:hAnsi="Times New Roman"/>
          <w:b/>
          <w:bCs/>
          <w:sz w:val="24"/>
        </w:rPr>
        <w:t>2．大学生创新创业训练项目系统</w:t>
      </w:r>
    </w:p>
    <w:p>
      <w:pPr>
        <w:widowControl/>
        <w:spacing w:line="300" w:lineRule="auto"/>
        <w:ind w:firstLine="480" w:firstLineChars="200"/>
        <w:jc w:val="left"/>
        <w:rPr>
          <w:rFonts w:ascii="宋体" w:hAnsi="宋体"/>
          <w:sz w:val="24"/>
          <w:szCs w:val="32"/>
        </w:rPr>
      </w:pPr>
      <w:r>
        <w:rPr>
          <w:rFonts w:hint="eastAsia" w:ascii="宋体" w:hAnsi="宋体"/>
          <w:sz w:val="24"/>
          <w:szCs w:val="32"/>
        </w:rPr>
        <w:t>系统采用B/S架构，</w:t>
      </w:r>
      <w:r>
        <w:rPr>
          <w:rFonts w:hint="eastAsia" w:ascii="宋体" w:hAnsi="宋体"/>
          <w:sz w:val="24"/>
        </w:rPr>
        <w:t>★必须与教育部《国家级大学生创新创业训练计划平台》及江苏省教育厅《省级大学生创新创业训练计划平台》实现国创、省创项目数据的无缝对接与远程上报，</w:t>
      </w:r>
      <w:r>
        <w:rPr>
          <w:rFonts w:hint="eastAsia" w:ascii="宋体" w:hAnsi="宋体"/>
          <w:sz w:val="24"/>
          <w:szCs w:val="32"/>
        </w:rPr>
        <w:t>功能贯穿于大学生创新训练项目管理的全部流程, 包含时间、参数设置模块、项目申报（审核）模块、专家组评审项目模块、项目立项发布模块、项目任务书提交（审核）模块、项目进展记录模块、项目中期进展报告提交（审核）模块、项目结题报告提交（审核）模块、项目结题模块、汇总查询过程数据统计模块、数据备份归档等功能模块。项目过程中学生与指导老师的可方便进行互动交流，院级专家与校级专家可分别组织项目评审，项目数据可自动汇总统计和查询，项目进度可实时管控管理。利用信息化手段提升教学管理水平满足PC端</w:t>
      </w:r>
      <w:r>
        <w:rPr>
          <w:rFonts w:ascii="宋体" w:hAnsi="宋体"/>
          <w:sz w:val="24"/>
          <w:szCs w:val="32"/>
        </w:rPr>
        <w:t>及移动手机端</w:t>
      </w:r>
      <w:r>
        <w:rPr>
          <w:rFonts w:hint="eastAsia" w:ascii="宋体" w:hAnsi="宋体"/>
          <w:sz w:val="24"/>
          <w:szCs w:val="32"/>
        </w:rPr>
        <w:t>登录。各模块功能要求：</w:t>
      </w:r>
    </w:p>
    <w:p>
      <w:pPr>
        <w:spacing w:line="360" w:lineRule="auto"/>
        <w:ind w:firstLine="480" w:firstLineChars="200"/>
        <w:rPr>
          <w:rFonts w:ascii="宋体" w:hAnsi="宋体"/>
          <w:sz w:val="24"/>
        </w:rPr>
      </w:pPr>
      <w:r>
        <w:rPr>
          <w:rFonts w:hint="eastAsia" w:ascii="宋体" w:hAnsi="宋体"/>
          <w:sz w:val="24"/>
        </w:rPr>
        <w:t>（1）时间、参数设置</w:t>
      </w:r>
    </w:p>
    <w:p>
      <w:pPr>
        <w:spacing w:line="360" w:lineRule="auto"/>
        <w:ind w:firstLine="480" w:firstLineChars="200"/>
        <w:rPr>
          <w:rFonts w:ascii="宋体" w:hAnsi="宋体"/>
          <w:sz w:val="24"/>
        </w:rPr>
      </w:pPr>
      <w:r>
        <w:rPr>
          <w:rFonts w:hint="eastAsia" w:ascii="宋体" w:hAnsi="宋体"/>
          <w:sz w:val="24"/>
        </w:rPr>
        <w:t>教务处管理员进入系统后，在</w:t>
      </w:r>
      <w:r>
        <w:rPr>
          <w:rFonts w:ascii="宋体" w:hAnsi="宋体"/>
          <w:sz w:val="24"/>
        </w:rPr>
        <w:t>[</w:t>
      </w:r>
      <w:r>
        <w:rPr>
          <w:rFonts w:hint="eastAsia" w:ascii="宋体" w:hAnsi="宋体"/>
          <w:sz w:val="24"/>
        </w:rPr>
        <w:t>申报日期设置</w:t>
      </w:r>
      <w:r>
        <w:rPr>
          <w:rFonts w:ascii="宋体" w:hAnsi="宋体"/>
          <w:sz w:val="24"/>
        </w:rPr>
        <w:t>]</w:t>
      </w:r>
      <w:r>
        <w:rPr>
          <w:rFonts w:hint="eastAsia" w:ascii="宋体" w:hAnsi="宋体"/>
          <w:sz w:val="24"/>
        </w:rPr>
        <w:t>中设置项目申报的起始、截止日期。在初始管理中，设置学院专业、专业门类、第一主持人年级、经费额度、列支超出百分比，完成对系统的初始配置。在帐号管理中，添加学院教学秘书、指导教师、学生、校级专家组帐号信息。</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）项目申报（审核）</w:t>
      </w:r>
    </w:p>
    <w:p>
      <w:pPr>
        <w:spacing w:line="360" w:lineRule="auto"/>
        <w:ind w:firstLine="480" w:firstLineChars="200"/>
        <w:rPr>
          <w:rFonts w:ascii="宋体" w:hAnsi="宋体"/>
          <w:sz w:val="24"/>
        </w:rPr>
      </w:pPr>
      <w:r>
        <w:rPr>
          <w:rFonts w:hint="eastAsia" w:ascii="宋体" w:hAnsi="宋体"/>
          <w:sz w:val="24"/>
        </w:rPr>
        <w:t>学生进入系统后，在</w:t>
      </w:r>
      <w:r>
        <w:rPr>
          <w:rFonts w:ascii="宋体" w:hAnsi="宋体"/>
          <w:sz w:val="24"/>
        </w:rPr>
        <w:t>[</w:t>
      </w:r>
      <w:r>
        <w:rPr>
          <w:rFonts w:hint="eastAsia" w:ascii="宋体" w:hAnsi="宋体"/>
          <w:sz w:val="24"/>
        </w:rPr>
        <w:t>项目申报</w:t>
      </w:r>
      <w:r>
        <w:rPr>
          <w:rFonts w:ascii="宋体" w:hAnsi="宋体"/>
          <w:sz w:val="24"/>
        </w:rPr>
        <w:t>]</w:t>
      </w:r>
      <w:r>
        <w:rPr>
          <w:rFonts w:hint="eastAsia" w:ascii="宋体" w:hAnsi="宋体"/>
          <w:sz w:val="24"/>
        </w:rPr>
        <w:t>中填写项目申报表，填写项目信息及经费预算，指导教师及项目主持人信息等。项目申报后，指导教师进入系统，在</w:t>
      </w:r>
      <w:r>
        <w:rPr>
          <w:rFonts w:ascii="宋体" w:hAnsi="宋体"/>
          <w:sz w:val="24"/>
        </w:rPr>
        <w:t>[</w:t>
      </w:r>
      <w:r>
        <w:rPr>
          <w:rFonts w:hint="eastAsia" w:ascii="宋体" w:hAnsi="宋体"/>
          <w:sz w:val="24"/>
        </w:rPr>
        <w:t>项目审核</w:t>
      </w:r>
      <w:r>
        <w:rPr>
          <w:rFonts w:ascii="宋体" w:hAnsi="宋体"/>
          <w:sz w:val="24"/>
        </w:rPr>
        <w:t>]</w:t>
      </w:r>
      <w:r>
        <w:rPr>
          <w:rFonts w:hint="eastAsia" w:ascii="宋体" w:hAnsi="宋体"/>
          <w:sz w:val="24"/>
        </w:rPr>
        <w:t>中审核项目。指导老师可选择</w:t>
      </w:r>
      <w:r>
        <w:rPr>
          <w:rFonts w:ascii="宋体" w:hAnsi="宋体"/>
          <w:sz w:val="24"/>
        </w:rPr>
        <w:t>[</w:t>
      </w:r>
      <w:r>
        <w:rPr>
          <w:rFonts w:hint="eastAsia" w:ascii="宋体" w:hAnsi="宋体"/>
          <w:sz w:val="24"/>
        </w:rPr>
        <w:t>通过</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不通过</w:t>
      </w:r>
      <w:r>
        <w:rPr>
          <w:rFonts w:ascii="宋体" w:hAnsi="宋体"/>
          <w:sz w:val="24"/>
        </w:rPr>
        <w:t>]</w:t>
      </w:r>
      <w:r>
        <w:rPr>
          <w:rFonts w:hint="eastAsia" w:ascii="宋体" w:hAnsi="宋体"/>
          <w:sz w:val="24"/>
        </w:rPr>
        <w:t>，给出修改意见，其界面状态显示</w:t>
      </w:r>
      <w:r>
        <w:rPr>
          <w:rFonts w:ascii="宋体" w:hAnsi="宋体"/>
          <w:sz w:val="24"/>
        </w:rPr>
        <w:t>[</w:t>
      </w:r>
      <w:r>
        <w:rPr>
          <w:rFonts w:hint="eastAsia" w:ascii="宋体" w:hAnsi="宋体"/>
          <w:sz w:val="24"/>
        </w:rPr>
        <w:t>退回修改</w:t>
      </w:r>
      <w:r>
        <w:rPr>
          <w:rFonts w:ascii="宋体" w:hAnsi="宋体"/>
          <w:sz w:val="24"/>
        </w:rPr>
        <w:t>]</w:t>
      </w:r>
      <w:r>
        <w:rPr>
          <w:rFonts w:hint="eastAsia" w:ascii="宋体" w:hAnsi="宋体"/>
          <w:sz w:val="24"/>
        </w:rPr>
        <w:t>，学生进入系统后，修改后再次提交，再由指导教师审核。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）专家组评审项目</w:t>
      </w:r>
    </w:p>
    <w:p>
      <w:pPr>
        <w:spacing w:line="360" w:lineRule="auto"/>
        <w:ind w:firstLine="480" w:firstLineChars="200"/>
        <w:rPr>
          <w:rFonts w:ascii="宋体" w:hAnsi="宋体"/>
          <w:sz w:val="24"/>
        </w:rPr>
      </w:pPr>
      <w:r>
        <w:rPr>
          <w:rFonts w:hint="eastAsia" w:ascii="宋体" w:hAnsi="宋体"/>
          <w:sz w:val="24"/>
        </w:rPr>
        <w:t>学院教学秘书进入系统后，在</w:t>
      </w:r>
      <w:r>
        <w:rPr>
          <w:rFonts w:ascii="宋体" w:hAnsi="宋体"/>
          <w:sz w:val="24"/>
        </w:rPr>
        <w:t>[</w:t>
      </w:r>
      <w:r>
        <w:rPr>
          <w:rFonts w:hint="eastAsia" w:ascii="宋体" w:hAnsi="宋体"/>
          <w:sz w:val="24"/>
        </w:rPr>
        <w:t>分配项目</w:t>
      </w:r>
      <w:r>
        <w:rPr>
          <w:rFonts w:ascii="宋体" w:hAnsi="宋体"/>
          <w:sz w:val="24"/>
        </w:rPr>
        <w:t>]</w:t>
      </w:r>
      <w:r>
        <w:rPr>
          <w:rFonts w:hint="eastAsia" w:ascii="宋体" w:hAnsi="宋体"/>
          <w:sz w:val="24"/>
        </w:rPr>
        <w:t>中分配院系专家组并发布。分配完成后，由院系专家组成员进入系统，在</w:t>
      </w:r>
      <w:r>
        <w:rPr>
          <w:rFonts w:ascii="宋体" w:hAnsi="宋体"/>
          <w:sz w:val="24"/>
        </w:rPr>
        <w:t>[</w:t>
      </w:r>
      <w:r>
        <w:rPr>
          <w:rFonts w:hint="eastAsia" w:ascii="宋体" w:hAnsi="宋体"/>
          <w:sz w:val="24"/>
        </w:rPr>
        <w:t>项目审核</w:t>
      </w:r>
      <w:r>
        <w:rPr>
          <w:rFonts w:ascii="宋体" w:hAnsi="宋体"/>
          <w:sz w:val="24"/>
        </w:rPr>
        <w:t>]</w:t>
      </w:r>
      <w:r>
        <w:rPr>
          <w:rFonts w:hint="eastAsia" w:ascii="宋体" w:hAnsi="宋体"/>
          <w:sz w:val="24"/>
        </w:rPr>
        <w:t>中，比照院级评审标准，对项目进行评审。审核完成后，由教务处管理员进入系统，在</w:t>
      </w:r>
      <w:r>
        <w:rPr>
          <w:rFonts w:ascii="宋体" w:hAnsi="宋体"/>
          <w:sz w:val="24"/>
        </w:rPr>
        <w:t>[</w:t>
      </w:r>
      <w:r>
        <w:rPr>
          <w:rFonts w:hint="eastAsia" w:ascii="宋体" w:hAnsi="宋体"/>
          <w:sz w:val="24"/>
        </w:rPr>
        <w:t>项目分配</w:t>
      </w:r>
      <w:r>
        <w:rPr>
          <w:rFonts w:ascii="宋体" w:hAnsi="宋体"/>
          <w:sz w:val="24"/>
        </w:rPr>
        <w:t>]</w:t>
      </w:r>
      <w:r>
        <w:rPr>
          <w:rFonts w:hint="eastAsia" w:ascii="宋体" w:hAnsi="宋体"/>
          <w:sz w:val="24"/>
        </w:rPr>
        <w:t>中分配校级专家组并发布。校级专家组成员进入系统，在</w:t>
      </w:r>
      <w:r>
        <w:rPr>
          <w:rFonts w:ascii="宋体" w:hAnsi="宋体"/>
          <w:sz w:val="24"/>
        </w:rPr>
        <w:t>[</w:t>
      </w:r>
      <w:r>
        <w:rPr>
          <w:rFonts w:hint="eastAsia" w:ascii="宋体" w:hAnsi="宋体"/>
          <w:sz w:val="24"/>
        </w:rPr>
        <w:t>项目审核</w:t>
      </w:r>
      <w:r>
        <w:rPr>
          <w:rFonts w:ascii="宋体" w:hAnsi="宋体"/>
          <w:sz w:val="24"/>
        </w:rPr>
        <w:t>]</w:t>
      </w:r>
      <w:r>
        <w:rPr>
          <w:rFonts w:hint="eastAsia" w:ascii="宋体" w:hAnsi="宋体"/>
          <w:sz w:val="24"/>
        </w:rPr>
        <w:t>中，比照校级评审标准，对项目进行评审。</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）项目立项发布</w:t>
      </w:r>
    </w:p>
    <w:p>
      <w:pPr>
        <w:spacing w:line="360" w:lineRule="auto"/>
        <w:ind w:firstLine="480" w:firstLineChars="200"/>
        <w:rPr>
          <w:rFonts w:ascii="宋体" w:hAnsi="宋体"/>
          <w:sz w:val="24"/>
        </w:rPr>
      </w:pPr>
      <w:r>
        <w:rPr>
          <w:rFonts w:hint="eastAsia" w:ascii="宋体" w:hAnsi="宋体"/>
          <w:sz w:val="24"/>
        </w:rPr>
        <w:t>校级专家组评审完成后，由教务处管理员进入系统后，点击</w:t>
      </w:r>
      <w:r>
        <w:rPr>
          <w:rFonts w:ascii="宋体" w:hAnsi="宋体"/>
          <w:sz w:val="24"/>
        </w:rPr>
        <w:t>[</w:t>
      </w:r>
      <w:r>
        <w:rPr>
          <w:rFonts w:hint="eastAsia" w:ascii="宋体" w:hAnsi="宋体"/>
          <w:sz w:val="24"/>
        </w:rPr>
        <w:t>项目发布</w:t>
      </w:r>
      <w:r>
        <w:rPr>
          <w:rFonts w:ascii="宋体" w:hAnsi="宋体"/>
          <w:sz w:val="24"/>
        </w:rPr>
        <w:t>]</w:t>
      </w:r>
      <w:r>
        <w:rPr>
          <w:rFonts w:hint="eastAsia" w:ascii="宋体" w:hAnsi="宋体"/>
          <w:sz w:val="24"/>
        </w:rPr>
        <w:t>，根据实际情况，输入学校批准金额额度，发布项目，完成项目立项。</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）项目任务书提交（审核）</w:t>
      </w:r>
    </w:p>
    <w:p>
      <w:pPr>
        <w:spacing w:line="360" w:lineRule="auto"/>
        <w:ind w:firstLine="480" w:firstLineChars="200"/>
        <w:rPr>
          <w:rFonts w:hint="eastAsia" w:ascii="宋体" w:hAnsi="宋体"/>
          <w:sz w:val="24"/>
        </w:rPr>
      </w:pPr>
      <w:r>
        <w:rPr>
          <w:rFonts w:hint="eastAsia" w:ascii="宋体" w:hAnsi="宋体"/>
          <w:sz w:val="24"/>
        </w:rPr>
        <w:t>项目立项后，学生进入系统，点击</w:t>
      </w:r>
      <w:r>
        <w:rPr>
          <w:rFonts w:ascii="宋体" w:hAnsi="宋体"/>
          <w:sz w:val="24"/>
        </w:rPr>
        <w:t>[</w:t>
      </w:r>
      <w:r>
        <w:rPr>
          <w:rFonts w:hint="eastAsia" w:ascii="宋体" w:hAnsi="宋体"/>
          <w:sz w:val="24"/>
        </w:rPr>
        <w:t>项目任务书</w:t>
      </w:r>
      <w:r>
        <w:rPr>
          <w:rFonts w:ascii="宋体" w:hAnsi="宋体"/>
          <w:sz w:val="24"/>
        </w:rPr>
        <w:t>]</w:t>
      </w:r>
      <w:r>
        <w:rPr>
          <w:rFonts w:hint="eastAsia" w:ascii="宋体" w:hAnsi="宋体"/>
          <w:sz w:val="24"/>
        </w:rPr>
        <w:t>，填写项目任务书相关信息后，提交项目任务书，等待指导教师审核。指导教师进入系统后，点击</w:t>
      </w:r>
      <w:r>
        <w:rPr>
          <w:rFonts w:ascii="宋体" w:hAnsi="宋体"/>
          <w:sz w:val="24"/>
        </w:rPr>
        <w:t>[</w:t>
      </w:r>
      <w:r>
        <w:rPr>
          <w:rFonts w:hint="eastAsia" w:ascii="宋体" w:hAnsi="宋体"/>
          <w:sz w:val="24"/>
        </w:rPr>
        <w:t>审核任务书</w:t>
      </w:r>
      <w:r>
        <w:rPr>
          <w:rFonts w:ascii="宋体" w:hAnsi="宋体"/>
          <w:sz w:val="24"/>
        </w:rPr>
        <w:t>]</w:t>
      </w:r>
      <w:r>
        <w:rPr>
          <w:rFonts w:hint="eastAsia" w:ascii="宋体" w:hAnsi="宋体"/>
          <w:sz w:val="24"/>
        </w:rPr>
        <w:t>，对项目任务书进行审核。指导教师审核完成后，系统管理员进入系统，点击</w:t>
      </w:r>
      <w:r>
        <w:rPr>
          <w:rFonts w:ascii="宋体" w:hAnsi="宋体"/>
          <w:sz w:val="24"/>
        </w:rPr>
        <w:t>[</w:t>
      </w:r>
      <w:r>
        <w:rPr>
          <w:rFonts w:hint="eastAsia" w:ascii="宋体" w:hAnsi="宋体"/>
          <w:sz w:val="24"/>
        </w:rPr>
        <w:t>审核项目任务书</w:t>
      </w:r>
      <w:r>
        <w:rPr>
          <w:rFonts w:ascii="宋体" w:hAnsi="宋体"/>
          <w:sz w:val="24"/>
        </w:rPr>
        <w:t>]</w:t>
      </w:r>
      <w:r>
        <w:rPr>
          <w:rFonts w:hint="eastAsia" w:ascii="宋体" w:hAnsi="宋体"/>
          <w:sz w:val="24"/>
        </w:rPr>
        <w:t>，对项目任务书进行审核。</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）项目进展记录</w:t>
      </w:r>
    </w:p>
    <w:p>
      <w:pPr>
        <w:spacing w:line="360" w:lineRule="auto"/>
        <w:ind w:firstLine="480" w:firstLineChars="200"/>
        <w:rPr>
          <w:rFonts w:ascii="宋体" w:hAnsi="宋体"/>
          <w:sz w:val="24"/>
        </w:rPr>
      </w:pPr>
      <w:r>
        <w:rPr>
          <w:rFonts w:hint="eastAsia" w:ascii="宋体" w:hAnsi="宋体"/>
          <w:sz w:val="24"/>
        </w:rPr>
        <w:t>项目立项后，学生进入系统，点击[项目进展记录]，填写项目进展记录情况，可多次填写，各级管理员可动态查看学生填写的项目进展记录，老师填写项目指导日志。</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）项目中期进展报告提交（审核）</w:t>
      </w:r>
    </w:p>
    <w:p>
      <w:pPr>
        <w:spacing w:line="360" w:lineRule="auto"/>
        <w:ind w:firstLine="480" w:firstLineChars="200"/>
        <w:rPr>
          <w:rFonts w:ascii="宋体" w:hAnsi="宋体"/>
          <w:sz w:val="24"/>
        </w:rPr>
      </w:pPr>
      <w:r>
        <w:rPr>
          <w:rFonts w:hint="eastAsia" w:ascii="宋体" w:hAnsi="宋体"/>
          <w:sz w:val="24"/>
        </w:rPr>
        <w:t>项目任务书通过审核后，学生进入系统，点击</w:t>
      </w:r>
      <w:r>
        <w:rPr>
          <w:rFonts w:ascii="宋体" w:hAnsi="宋体"/>
          <w:sz w:val="24"/>
        </w:rPr>
        <w:t>[</w:t>
      </w:r>
      <w:r>
        <w:rPr>
          <w:rFonts w:hint="eastAsia" w:ascii="宋体" w:hAnsi="宋体"/>
          <w:sz w:val="24"/>
        </w:rPr>
        <w:t>中期进展报告</w:t>
      </w:r>
      <w:r>
        <w:rPr>
          <w:rFonts w:ascii="宋体" w:hAnsi="宋体"/>
          <w:sz w:val="24"/>
        </w:rPr>
        <w:t>]</w:t>
      </w:r>
      <w:r>
        <w:rPr>
          <w:rFonts w:hint="eastAsia" w:ascii="宋体" w:hAnsi="宋体"/>
          <w:sz w:val="24"/>
        </w:rPr>
        <w:t>，填写中期进展报告并提交。学生提交中期报告后，指导教师进入系统，点击</w:t>
      </w:r>
      <w:r>
        <w:rPr>
          <w:rFonts w:ascii="宋体" w:hAnsi="宋体"/>
          <w:sz w:val="24"/>
        </w:rPr>
        <w:t>[</w:t>
      </w:r>
      <w:r>
        <w:rPr>
          <w:rFonts w:hint="eastAsia" w:ascii="宋体" w:hAnsi="宋体"/>
          <w:sz w:val="24"/>
        </w:rPr>
        <w:t>审核中期进展报告</w:t>
      </w:r>
      <w:r>
        <w:rPr>
          <w:rFonts w:ascii="宋体" w:hAnsi="宋体"/>
          <w:sz w:val="24"/>
        </w:rPr>
        <w:t>]</w:t>
      </w:r>
      <w:r>
        <w:rPr>
          <w:rFonts w:hint="eastAsia" w:ascii="宋体" w:hAnsi="宋体"/>
          <w:sz w:val="24"/>
        </w:rPr>
        <w:t>，对中期进展报告进行审核。指导教师审核通过后，院系专家组成员进入系统，点击</w:t>
      </w:r>
      <w:r>
        <w:rPr>
          <w:rFonts w:ascii="宋体" w:hAnsi="宋体"/>
          <w:sz w:val="24"/>
        </w:rPr>
        <w:t>[</w:t>
      </w:r>
      <w:r>
        <w:rPr>
          <w:rFonts w:hint="eastAsia" w:ascii="宋体" w:hAnsi="宋体"/>
          <w:sz w:val="24"/>
        </w:rPr>
        <w:t>审核中期进展报告</w:t>
      </w:r>
      <w:r>
        <w:rPr>
          <w:rFonts w:ascii="宋体" w:hAnsi="宋体"/>
          <w:sz w:val="24"/>
        </w:rPr>
        <w:t>]</w:t>
      </w:r>
      <w:r>
        <w:rPr>
          <w:rFonts w:hint="eastAsia" w:ascii="宋体" w:hAnsi="宋体"/>
          <w:sz w:val="24"/>
        </w:rPr>
        <w:t>，对中期进展报告进行审核。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）项目结项报告提交（审核）</w:t>
      </w:r>
    </w:p>
    <w:p>
      <w:pPr>
        <w:spacing w:line="360" w:lineRule="auto"/>
        <w:ind w:firstLine="480" w:firstLineChars="200"/>
        <w:rPr>
          <w:rFonts w:ascii="宋体" w:hAnsi="宋体"/>
          <w:sz w:val="24"/>
        </w:rPr>
      </w:pPr>
      <w:r>
        <w:rPr>
          <w:rFonts w:hint="eastAsia" w:ascii="宋体" w:hAnsi="宋体"/>
          <w:sz w:val="24"/>
        </w:rPr>
        <w:t>中期进展报告通过审核后，学生进入系统，点击</w:t>
      </w:r>
      <w:r>
        <w:rPr>
          <w:rFonts w:ascii="宋体" w:hAnsi="宋体"/>
          <w:sz w:val="24"/>
        </w:rPr>
        <w:t>[</w:t>
      </w:r>
      <w:r>
        <w:rPr>
          <w:rFonts w:hint="eastAsia" w:ascii="宋体" w:hAnsi="宋体"/>
          <w:sz w:val="24"/>
        </w:rPr>
        <w:t>结项报告</w:t>
      </w:r>
      <w:r>
        <w:rPr>
          <w:rFonts w:ascii="宋体" w:hAnsi="宋体"/>
          <w:sz w:val="24"/>
        </w:rPr>
        <w:t>]</w:t>
      </w:r>
      <w:r>
        <w:rPr>
          <w:rFonts w:hint="eastAsia" w:ascii="宋体" w:hAnsi="宋体"/>
          <w:sz w:val="24"/>
        </w:rPr>
        <w:t>，填写结项报告信息并提交，等待指导教师审核。指导教师进入系统后，点击</w:t>
      </w:r>
      <w:r>
        <w:rPr>
          <w:rFonts w:ascii="宋体" w:hAnsi="宋体"/>
          <w:sz w:val="24"/>
        </w:rPr>
        <w:t>[</w:t>
      </w:r>
      <w:r>
        <w:rPr>
          <w:rFonts w:hint="eastAsia" w:ascii="宋体" w:hAnsi="宋体"/>
          <w:sz w:val="24"/>
        </w:rPr>
        <w:t>审核结项报告</w:t>
      </w:r>
      <w:r>
        <w:rPr>
          <w:rFonts w:ascii="宋体" w:hAnsi="宋体"/>
          <w:sz w:val="24"/>
        </w:rPr>
        <w:t>]</w:t>
      </w:r>
      <w:r>
        <w:rPr>
          <w:rFonts w:hint="eastAsia" w:ascii="宋体" w:hAnsi="宋体"/>
          <w:sz w:val="24"/>
        </w:rPr>
        <w:t>，审核学生提交的结项报告，审核通过后由校级专家组审核。校级专家组成员进入系统后，点击</w:t>
      </w:r>
      <w:r>
        <w:rPr>
          <w:rFonts w:ascii="宋体" w:hAnsi="宋体"/>
          <w:sz w:val="24"/>
        </w:rPr>
        <w:t>[</w:t>
      </w:r>
      <w:r>
        <w:rPr>
          <w:rFonts w:hint="eastAsia" w:ascii="宋体" w:hAnsi="宋体"/>
          <w:sz w:val="24"/>
        </w:rPr>
        <w:t>审核结项报告</w:t>
      </w:r>
      <w:r>
        <w:rPr>
          <w:rFonts w:ascii="宋体" w:hAnsi="宋体"/>
          <w:sz w:val="24"/>
        </w:rPr>
        <w:t>]</w:t>
      </w:r>
      <w:r>
        <w:rPr>
          <w:rFonts w:hint="eastAsia" w:ascii="宋体" w:hAnsi="宋体"/>
          <w:sz w:val="24"/>
        </w:rPr>
        <w:t>，对结项报告进行审核。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）项目结题</w:t>
      </w:r>
    </w:p>
    <w:p>
      <w:pPr>
        <w:spacing w:line="360" w:lineRule="auto"/>
        <w:ind w:firstLine="480" w:firstLineChars="200"/>
        <w:rPr>
          <w:rFonts w:ascii="宋体" w:hAnsi="宋体"/>
          <w:sz w:val="24"/>
        </w:rPr>
      </w:pPr>
      <w:r>
        <w:rPr>
          <w:rFonts w:hint="eastAsia" w:ascii="宋体" w:hAnsi="宋体"/>
          <w:sz w:val="24"/>
        </w:rPr>
        <w:t>项目结项报告通过校级专家组审核后，教务处管理员进入系统后，点击</w:t>
      </w:r>
      <w:r>
        <w:rPr>
          <w:rFonts w:ascii="宋体" w:hAnsi="宋体"/>
          <w:sz w:val="24"/>
        </w:rPr>
        <w:t>[</w:t>
      </w:r>
      <w:r>
        <w:rPr>
          <w:rFonts w:hint="eastAsia" w:ascii="宋体" w:hAnsi="宋体"/>
          <w:sz w:val="24"/>
        </w:rPr>
        <w:t>项目结题</w:t>
      </w:r>
      <w:r>
        <w:rPr>
          <w:rFonts w:ascii="宋体" w:hAnsi="宋体"/>
          <w:sz w:val="24"/>
        </w:rPr>
        <w:t>]</w:t>
      </w:r>
      <w:r>
        <w:rPr>
          <w:rFonts w:hint="eastAsia" w:ascii="宋体" w:hAnsi="宋体"/>
          <w:sz w:val="24"/>
        </w:rPr>
        <w:t>，根据实际情况，对项目进行结题操作。学生进入系统后，点击[项目列支]，填写项目经费列支。</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）汇总查询、过程数据统计</w:t>
      </w:r>
    </w:p>
    <w:p>
      <w:pPr>
        <w:spacing w:line="360" w:lineRule="auto"/>
        <w:ind w:firstLine="480" w:firstLineChars="200"/>
        <w:rPr>
          <w:rFonts w:ascii="宋体" w:hAnsi="宋体"/>
          <w:sz w:val="24"/>
        </w:rPr>
      </w:pPr>
      <w:r>
        <w:rPr>
          <w:rFonts w:hint="eastAsia" w:ascii="宋体" w:hAnsi="宋体"/>
          <w:sz w:val="24"/>
        </w:rPr>
        <w:t>教务处及学院教学秘书可以查看相关项目的所有信息的总列表，也可以根据学院、专业选择查看某学院乃至某专业的记录列表，并直接生成</w:t>
      </w:r>
      <w:r>
        <w:rPr>
          <w:rFonts w:ascii="宋体" w:hAnsi="宋体"/>
          <w:sz w:val="24"/>
        </w:rPr>
        <w:t>word</w:t>
      </w:r>
      <w:r>
        <w:rPr>
          <w:rFonts w:hint="eastAsia" w:ascii="宋体" w:hAnsi="宋体"/>
          <w:sz w:val="24"/>
        </w:rPr>
        <w:t>文档，同时能支持在线打印。在项目进行过程中，教务处管理员可查看各个项目的进展情况。</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）数据备份归档</w:t>
      </w:r>
    </w:p>
    <w:p>
      <w:pPr>
        <w:spacing w:line="360" w:lineRule="auto"/>
        <w:ind w:firstLine="480" w:firstLineChars="200"/>
        <w:rPr>
          <w:rFonts w:ascii="宋体" w:hAnsi="宋体"/>
          <w:sz w:val="24"/>
        </w:rPr>
      </w:pPr>
      <w:r>
        <w:rPr>
          <w:rFonts w:hint="eastAsia" w:ascii="宋体" w:hAnsi="宋体"/>
          <w:sz w:val="24"/>
        </w:rPr>
        <w:t>所有已结题的项目及相关信息最终的数据将在后台备份留档，生成历史数据记录备查，自动生成多格式表单供打印输出。</w:t>
      </w:r>
    </w:p>
    <w:p>
      <w:pPr>
        <w:spacing w:line="360" w:lineRule="auto"/>
        <w:ind w:firstLine="480" w:firstLineChars="200"/>
        <w:rPr>
          <w:rFonts w:ascii="宋体" w:hAnsi="宋体"/>
          <w:sz w:val="24"/>
        </w:rPr>
      </w:pPr>
      <w:bookmarkStart w:id="31" w:name="_Hlk40787880"/>
      <w:r>
        <w:rPr>
          <w:rFonts w:hint="eastAsia" w:ascii="宋体" w:hAnsi="宋体"/>
          <w:sz w:val="24"/>
        </w:rPr>
        <w:t>（1</w:t>
      </w:r>
      <w:r>
        <w:rPr>
          <w:rFonts w:ascii="宋体" w:hAnsi="宋体"/>
          <w:sz w:val="24"/>
        </w:rPr>
        <w:t>2</w:t>
      </w:r>
      <w:r>
        <w:rPr>
          <w:rFonts w:hint="eastAsia" w:ascii="宋体" w:hAnsi="宋体"/>
          <w:sz w:val="24"/>
        </w:rPr>
        <w:t>）系统安全及数据对接</w:t>
      </w:r>
      <w:bookmarkEnd w:id="31"/>
    </w:p>
    <w:p>
      <w:pPr>
        <w:spacing w:line="360" w:lineRule="auto"/>
        <w:ind w:firstLine="480" w:firstLineChars="200"/>
        <w:rPr>
          <w:rFonts w:ascii="宋体" w:hAnsi="宋体"/>
          <w:sz w:val="24"/>
        </w:rPr>
      </w:pPr>
      <w:r>
        <w:rPr>
          <w:rFonts w:hint="eastAsia" w:ascii="宋体" w:hAnsi="宋体"/>
          <w:sz w:val="24"/>
        </w:rPr>
        <w:t>1）系统安全性达到国家相关要求，并确保软件系统符合安全等保二级测评要求。</w:t>
      </w:r>
    </w:p>
    <w:p>
      <w:pPr>
        <w:spacing w:line="360" w:lineRule="auto"/>
        <w:ind w:firstLine="480" w:firstLineChars="200"/>
        <w:rPr>
          <w:rFonts w:ascii="宋体" w:hAnsi="宋体"/>
          <w:sz w:val="24"/>
        </w:rPr>
      </w:pPr>
      <w:r>
        <w:rPr>
          <w:rFonts w:hint="eastAsia" w:ascii="宋体" w:hAnsi="宋体"/>
          <w:sz w:val="24"/>
        </w:rPr>
        <w:t>2）系统可按规范要求完成与学校统一身份认证系统对接，并实现与校务服务平台及学校消息推送模块对接。</w:t>
      </w:r>
    </w:p>
    <w:p>
      <w:pPr>
        <w:spacing w:line="360" w:lineRule="auto"/>
        <w:ind w:firstLine="480" w:firstLineChars="200"/>
        <w:rPr>
          <w:rFonts w:hint="eastAsia" w:ascii="宋体" w:hAnsi="宋体"/>
          <w:sz w:val="24"/>
        </w:rPr>
      </w:pPr>
      <w:r>
        <w:rPr>
          <w:rFonts w:hint="eastAsia" w:ascii="宋体" w:hAnsi="宋体"/>
          <w:sz w:val="24"/>
        </w:rPr>
        <w:t>3）系统中涉及的用户数据、组织数据等基础数据或其他需从学校第三方系统获取的数据，可通过对接学校数据中心进行获取。</w:t>
      </w:r>
    </w:p>
    <w:p>
      <w:pPr>
        <w:spacing w:line="360" w:lineRule="auto"/>
        <w:ind w:firstLine="480" w:firstLineChars="200"/>
        <w:rPr>
          <w:rFonts w:ascii="宋体" w:hAnsi="宋体"/>
          <w:sz w:val="24"/>
        </w:rPr>
      </w:pPr>
      <w:r>
        <w:rPr>
          <w:rFonts w:hint="eastAsia" w:ascii="宋体" w:hAnsi="宋体"/>
          <w:sz w:val="24"/>
        </w:rPr>
        <w:t>4）系统提供全开放接口及完整接口文档。</w:t>
      </w:r>
    </w:p>
    <w:p>
      <w:pPr>
        <w:spacing w:line="360" w:lineRule="auto"/>
        <w:ind w:firstLine="480" w:firstLineChars="200"/>
        <w:rPr>
          <w:rFonts w:hint="eastAsia" w:ascii="宋体" w:hAnsi="宋体"/>
          <w:sz w:val="24"/>
        </w:rPr>
      </w:pPr>
      <w:r>
        <w:rPr>
          <w:rFonts w:hint="eastAsia" w:ascii="宋体" w:hAnsi="宋体"/>
          <w:sz w:val="24"/>
        </w:rPr>
        <w:t>5）系统能够与教育部《国家级大学生创新创业训练计划平台》或省级教育主管部门《省级大学生创新创业训练计划平台》实现国创、省创项目数据的无缝对接，实现项目数据通过互联网自动推送上报，项目数据无需进行格式的转换或系统软件功能的二次开发。</w:t>
      </w:r>
    </w:p>
    <w:p>
      <w:pPr>
        <w:spacing w:line="360" w:lineRule="auto"/>
        <w:ind w:firstLine="480" w:firstLineChars="200"/>
        <w:rPr>
          <w:rFonts w:hint="eastAsia" w:ascii="宋体" w:hAnsi="宋体"/>
          <w:sz w:val="24"/>
        </w:rPr>
      </w:pPr>
      <w:r>
        <w:rPr>
          <w:rFonts w:hint="eastAsia" w:ascii="宋体" w:hAnsi="宋体"/>
          <w:sz w:val="24"/>
        </w:rPr>
        <w:t>以上仅为基础功能，实施过程中的具体程序功能以满足南京邮电大学通达学院大学生创新创业训练计划管理工作实际需求为准。</w:t>
      </w:r>
    </w:p>
    <w:p>
      <w:pPr>
        <w:spacing w:line="360" w:lineRule="auto"/>
        <w:rPr>
          <w:rFonts w:ascii="Times New Roman" w:hAnsi="宋体"/>
          <w:b/>
          <w:sz w:val="24"/>
        </w:rPr>
      </w:pPr>
      <w:r>
        <w:rPr>
          <w:rFonts w:hint="eastAsia" w:ascii="Times New Roman" w:hAnsi="宋体"/>
          <w:b/>
          <w:sz w:val="24"/>
          <w:lang w:eastAsia="zh-CN"/>
        </w:rPr>
        <w:t>三</w:t>
      </w:r>
      <w:r>
        <w:rPr>
          <w:rFonts w:hint="eastAsia" w:ascii="Times New Roman" w:hAnsi="宋体"/>
          <w:b/>
          <w:sz w:val="24"/>
        </w:rPr>
        <w:t>、</w:t>
      </w:r>
      <w:r>
        <w:rPr>
          <w:rFonts w:ascii="Times New Roman" w:hAnsi="宋体"/>
          <w:b/>
          <w:sz w:val="24"/>
        </w:rPr>
        <w:t>其他</w:t>
      </w:r>
    </w:p>
    <w:p>
      <w:pPr>
        <w:pStyle w:val="13"/>
        <w:spacing w:line="360" w:lineRule="auto"/>
        <w:ind w:left="0" w:leftChars="0"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项目所含2个软件系统均要求有独立的数据库，既可以独立使用各系统（通过各系统分别登录使用），也可以通过平台软件统一登录使用各系统（通过平台软件统一登录使用）。</w:t>
      </w:r>
    </w:p>
    <w:p>
      <w:pPr>
        <w:pStyle w:val="13"/>
        <w:spacing w:line="360" w:lineRule="auto"/>
        <w:ind w:left="0" w:leftChars="0" w:firstLine="480" w:firstLineChars="200"/>
        <w:rPr>
          <w:rFonts w:ascii="宋体" w:hAnsi="宋体"/>
          <w:sz w:val="24"/>
        </w:rPr>
      </w:pPr>
      <w:r>
        <w:rPr>
          <w:rFonts w:ascii="宋体" w:hAnsi="宋体"/>
          <w:sz w:val="24"/>
        </w:rPr>
        <w:t>2.</w:t>
      </w:r>
      <w:r>
        <w:rPr>
          <w:rFonts w:hint="eastAsia" w:ascii="宋体" w:hAnsi="宋体"/>
          <w:sz w:val="24"/>
        </w:rPr>
        <w:t>项目所含大学生创新训练智能管理系统必须与教育部《国家级大学生创新创业训练计划平台》及江苏省教育厅《省级大学生创新创业训练计划平台》实现国创、省创项目数据的无缝对接与远程上报，实现项目数据通过互联网自动推送上报，项目数据无需进行格式的转换或系统软件功能的二次开发。</w:t>
      </w:r>
    </w:p>
    <w:p>
      <w:pPr>
        <w:pStyle w:val="13"/>
        <w:spacing w:line="360" w:lineRule="auto"/>
        <w:ind w:left="0" w:leftChars="0"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 项目所含系统软件在中标后两周内安装调试完成。</w:t>
      </w:r>
    </w:p>
    <w:p>
      <w:pPr>
        <w:pStyle w:val="13"/>
        <w:spacing w:line="360" w:lineRule="auto"/>
        <w:ind w:left="0" w:leftChars="0" w:firstLine="480" w:firstLineChars="200"/>
        <w:rPr>
          <w:rFonts w:ascii="宋体" w:hAnsi="宋体"/>
          <w:sz w:val="24"/>
        </w:rPr>
      </w:pPr>
      <w:r>
        <w:rPr>
          <w:rFonts w:hint="eastAsia" w:ascii="宋体" w:hAnsi="宋体"/>
          <w:sz w:val="24"/>
        </w:rPr>
        <w:t>4</w:t>
      </w:r>
      <w:r>
        <w:rPr>
          <w:rFonts w:ascii="宋体" w:hAnsi="宋体"/>
          <w:sz w:val="24"/>
        </w:rPr>
        <w:t>. 质保期</w:t>
      </w:r>
    </w:p>
    <w:p>
      <w:pPr>
        <w:pStyle w:val="13"/>
        <w:spacing w:line="360" w:lineRule="auto"/>
        <w:ind w:left="0" w:leftChars="0" w:firstLine="480" w:firstLineChars="200"/>
        <w:rPr>
          <w:rFonts w:ascii="宋体" w:hAnsi="宋体"/>
          <w:sz w:val="24"/>
        </w:rPr>
      </w:pPr>
      <w:r>
        <w:rPr>
          <w:rFonts w:ascii="宋体" w:hAnsi="宋体"/>
          <w:sz w:val="24"/>
        </w:rPr>
        <w:t>平台软件3年内免费升级，接口免费开放及免费个性化定制及维护。</w:t>
      </w:r>
    </w:p>
    <w:p>
      <w:pPr>
        <w:pStyle w:val="13"/>
        <w:spacing w:line="360" w:lineRule="auto"/>
        <w:ind w:left="0" w:leftChars="0" w:firstLine="480" w:firstLineChars="200"/>
        <w:rPr>
          <w:rFonts w:ascii="宋体" w:hAnsi="宋体"/>
          <w:sz w:val="24"/>
        </w:rPr>
      </w:pPr>
      <w:r>
        <w:rPr>
          <w:rFonts w:hint="eastAsia" w:ascii="宋体" w:hAnsi="宋体"/>
          <w:sz w:val="24"/>
        </w:rPr>
        <w:t>5</w:t>
      </w:r>
      <w:r>
        <w:rPr>
          <w:rFonts w:ascii="宋体" w:hAnsi="宋体"/>
          <w:sz w:val="24"/>
        </w:rPr>
        <w:t>.售后技术服务要求</w:t>
      </w:r>
    </w:p>
    <w:p>
      <w:pPr>
        <w:pStyle w:val="13"/>
        <w:spacing w:line="360" w:lineRule="auto"/>
        <w:ind w:left="0" w:leftChars="0" w:firstLine="480" w:firstLineChars="200"/>
        <w:rPr>
          <w:rFonts w:hint="eastAsia"/>
        </w:rPr>
      </w:pPr>
      <w:r>
        <w:rPr>
          <w:rFonts w:ascii="宋体" w:hAnsi="宋体"/>
          <w:sz w:val="24"/>
        </w:rPr>
        <w:t>免费服务期内，接到用户的电话通知后，在2小时内提供技术指导、邮件维护或远程维护，如需要，在24小时内派出技术人员到达用户现场进行相关服务。</w:t>
      </w:r>
    </w:p>
    <w:p>
      <w:pPr>
        <w:pStyle w:val="19"/>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8"/>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textAlignment w:val="auto"/>
        <w:rPr>
          <w:rFonts w:ascii="宋体" w:hAnsi="宋体"/>
          <w:bCs/>
          <w:snapToGrid w:val="0"/>
          <w:color w:val="000000"/>
          <w:sz w:val="24"/>
        </w:rPr>
      </w:pPr>
      <w:bookmarkStart w:id="32" w:name="_Toc120614281"/>
      <w:bookmarkStart w:id="33" w:name="_Toc26554093"/>
      <w:bookmarkStart w:id="34" w:name="_Toc49090575"/>
      <w:r>
        <w:rPr>
          <w:rFonts w:hint="eastAsia" w:ascii="宋体" w:hAnsi="宋体"/>
          <w:bCs/>
          <w:snapToGrid w:val="0"/>
          <w:color w:val="000000"/>
          <w:sz w:val="24"/>
        </w:rPr>
        <w:t>一、总则</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textAlignment w:val="auto"/>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textAlignment w:val="auto"/>
        <w:rPr>
          <w:rFonts w:ascii="宋体" w:hAnsi="宋体"/>
          <w:color w:val="000000"/>
          <w:sz w:val="24"/>
        </w:rPr>
      </w:pPr>
      <w:r>
        <w:rPr>
          <w:rFonts w:hint="eastAsia" w:ascii="宋体" w:hAnsi="宋体"/>
          <w:color w:val="000000"/>
          <w:sz w:val="24"/>
        </w:rPr>
        <w:t>二、评分标准</w:t>
      </w:r>
    </w:p>
    <w:p>
      <w:pPr>
        <w:keepNext w:val="0"/>
        <w:keepLines w:val="0"/>
        <w:pageBreakBefore w:val="0"/>
        <w:widowControl w:val="0"/>
        <w:tabs>
          <w:tab w:val="left" w:pos="0"/>
          <w:tab w:val="left" w:pos="600"/>
          <w:tab w:val="left" w:pos="1134"/>
        </w:tabs>
        <w:kinsoku/>
        <w:wordWrap/>
        <w:overflowPunct/>
        <w:topLinePunct w:val="0"/>
        <w:autoSpaceDE/>
        <w:autoSpaceDN/>
        <w:bidi w:val="0"/>
        <w:adjustRightInd w:val="0"/>
        <w:snapToGrid w:val="0"/>
        <w:spacing w:before="146" w:beforeLines="50" w:after="146" w:afterLines="50" w:line="360" w:lineRule="exact"/>
        <w:textAlignment w:val="auto"/>
        <w:rPr>
          <w:rFonts w:hint="eastAsia" w:ascii="黑体" w:eastAsia="黑体"/>
          <w:b/>
          <w:bCs/>
          <w:color w:val="000000"/>
          <w:sz w:val="28"/>
          <w:szCs w:val="28"/>
        </w:rPr>
      </w:pPr>
      <w:r>
        <w:rPr>
          <w:rFonts w:hint="eastAsia" w:ascii="宋体" w:hAnsi="宋体"/>
          <w:b/>
          <w:bCs/>
          <w:color w:val="000000"/>
          <w:sz w:val="24"/>
        </w:rPr>
        <w:t xml:space="preserve">     1.投标报价（40分）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jc w:val="left"/>
        <w:textAlignment w:val="auto"/>
        <w:rPr>
          <w:rFonts w:hint="eastAsia" w:ascii="宋体" w:hAnsi="宋体"/>
          <w:color w:val="000000"/>
          <w:sz w:val="24"/>
        </w:rPr>
      </w:pPr>
      <w:r>
        <w:rPr>
          <w:rFonts w:hint="eastAsia" w:ascii="宋体" w:hAnsi="宋体"/>
          <w:color w:val="000000"/>
          <w:sz w:val="24"/>
        </w:rPr>
        <w:t xml:space="preserve">    </w:t>
      </w:r>
      <w:bookmarkStart w:id="35"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jc w:val="left"/>
        <w:textAlignment w:val="auto"/>
        <w:rPr>
          <w:rFonts w:hint="eastAsia" w:ascii="宋体" w:hAnsi="宋体"/>
          <w:color w:val="000000"/>
          <w:sz w:val="24"/>
        </w:rPr>
      </w:pPr>
      <w:r>
        <w:rPr>
          <w:rFonts w:hint="eastAsia" w:ascii="宋体" w:hAnsi="宋体"/>
          <w:color w:val="000000"/>
          <w:sz w:val="24"/>
        </w:rPr>
        <w:t>价，其价格为满分。其他投标人的价格分按照下列公式计算：</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jc w:val="left"/>
        <w:textAlignment w:val="auto"/>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5"/>
    </w:p>
    <w:p>
      <w:pPr>
        <w:keepNext w:val="0"/>
        <w:keepLines w:val="0"/>
        <w:pageBreakBefore w:val="0"/>
        <w:widowControl w:val="0"/>
        <w:tabs>
          <w:tab w:val="left" w:pos="0"/>
          <w:tab w:val="left" w:pos="600"/>
          <w:tab w:val="left" w:pos="1134"/>
        </w:tabs>
        <w:kinsoku/>
        <w:wordWrap/>
        <w:overflowPunct/>
        <w:topLinePunct w:val="0"/>
        <w:autoSpaceDE/>
        <w:autoSpaceDN/>
        <w:bidi w:val="0"/>
        <w:adjustRightInd w:val="0"/>
        <w:snapToGrid w:val="0"/>
        <w:spacing w:before="146" w:beforeLines="50" w:after="146" w:afterLines="50" w:line="360" w:lineRule="exact"/>
        <w:ind w:firstLine="482" w:firstLineChars="200"/>
        <w:textAlignment w:val="auto"/>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30</w:t>
      </w:r>
      <w:r>
        <w:rPr>
          <w:rFonts w:hint="eastAsia" w:ascii="宋体" w:hAnsi="宋体"/>
          <w:b/>
          <w:bCs/>
          <w:color w:val="000000"/>
          <w:sz w:val="24"/>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asciiTheme="minorEastAsia" w:hAnsiTheme="minorEastAsia"/>
          <w:bCs/>
          <w:snapToGrid w:val="0"/>
          <w:sz w:val="24"/>
        </w:rPr>
      </w:pPr>
      <w:r>
        <w:rPr>
          <w:rFonts w:hint="eastAsia" w:asciiTheme="minorEastAsia" w:hAnsiTheme="minorEastAsia"/>
          <w:bCs/>
          <w:snapToGrid w:val="0"/>
          <w:sz w:val="24"/>
        </w:rPr>
        <w:t>投标方案或投标产品性能、质量指标，投标单位逐条响应。全部响应得</w:t>
      </w:r>
      <w:r>
        <w:rPr>
          <w:rFonts w:hint="eastAsia" w:asciiTheme="minorEastAsia" w:hAnsiTheme="minorEastAsia"/>
          <w:bCs/>
          <w:snapToGrid w:val="0"/>
          <w:sz w:val="24"/>
          <w:lang w:val="en-US" w:eastAsia="zh-CN"/>
        </w:rPr>
        <w:t>28</w:t>
      </w:r>
      <w:r>
        <w:rPr>
          <w:rFonts w:hint="eastAsia" w:asciiTheme="minorEastAsia" w:hAnsiTheme="minorEastAsia"/>
          <w:bCs/>
          <w:snapToGrid w:val="0"/>
          <w:sz w:val="24"/>
        </w:rPr>
        <w:t>分，正偏离评委认可一项得</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分，最多正偏离得分</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w:t>
      </w:r>
      <w:r>
        <w:rPr>
          <w:rFonts w:hint="eastAsia" w:ascii="宋体" w:hAnsi="宋体"/>
          <w:color w:val="000000"/>
          <w:sz w:val="24"/>
        </w:rPr>
        <w:t>有</w:t>
      </w:r>
      <w:r>
        <w:rPr>
          <w:rFonts w:hint="eastAsia" w:ascii="宋体" w:hAnsi="宋体"/>
          <w:color w:val="000000"/>
          <w:sz w:val="24"/>
          <w:lang w:val="en-US" w:eastAsia="zh-CN"/>
        </w:rPr>
        <w:t>一项</w:t>
      </w:r>
      <w:r>
        <w:rPr>
          <w:rFonts w:hint="eastAsia" w:ascii="宋体" w:hAnsi="宋体"/>
          <w:color w:val="000000"/>
          <w:sz w:val="24"/>
        </w:rPr>
        <w:t>负偏离本大项不得分。</w:t>
      </w:r>
      <w:r>
        <w:rPr>
          <w:rFonts w:hint="eastAsia" w:asciiTheme="minorEastAsia" w:hAnsiTheme="minorEastAsia"/>
          <w:bCs/>
          <w:snapToGrid w:val="0"/>
          <w:sz w:val="24"/>
        </w:rPr>
        <w:t>（</w:t>
      </w:r>
      <w:r>
        <w:rPr>
          <w:rFonts w:hint="eastAsia" w:asciiTheme="minorEastAsia" w:hAnsiTheme="minorEastAsia"/>
          <w:bCs/>
          <w:snapToGrid w:val="0"/>
          <w:sz w:val="24"/>
          <w:lang w:val="en-US" w:eastAsia="zh-CN"/>
        </w:rPr>
        <w:t>30</w:t>
      </w:r>
      <w:r>
        <w:rPr>
          <w:rFonts w:hint="eastAsia" w:asciiTheme="minorEastAsia" w:hAnsiTheme="minorEastAsia"/>
          <w:bCs/>
          <w:snapToGrid w:val="0"/>
          <w:sz w:val="24"/>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2" w:firstLineChars="200"/>
        <w:jc w:val="left"/>
        <w:textAlignment w:val="auto"/>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15</w:t>
      </w:r>
      <w:r>
        <w:rPr>
          <w:rFonts w:hint="eastAsia" w:ascii="宋体" w:hAnsi="宋体"/>
          <w:b/>
          <w:sz w:val="24"/>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eastAsia" w:ascii="宋体" w:hAnsi="宋体"/>
          <w:color w:val="000000"/>
          <w:sz w:val="24"/>
          <w:lang w:eastAsia="zh-CN"/>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r>
        <w:rPr>
          <w:rFonts w:hint="eastAsia" w:ascii="宋体" w:hAnsi="宋体"/>
          <w:color w:val="000000"/>
          <w:sz w:val="24"/>
          <w:lang w:eastAsia="zh-CN"/>
        </w:rPr>
        <w:t>。</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eastAsia" w:ascii="宋体" w:hAnsi="宋体"/>
          <w:color w:val="000000"/>
          <w:sz w:val="24"/>
          <w:lang w:eastAsia="zh-CN"/>
        </w:rPr>
      </w:pP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）免费质保期满足</w:t>
      </w:r>
      <w:r>
        <w:rPr>
          <w:rFonts w:hint="eastAsia" w:ascii="宋体" w:hAnsi="宋体"/>
          <w:color w:val="000000"/>
          <w:sz w:val="24"/>
          <w:lang w:eastAsia="zh-CN"/>
        </w:rPr>
        <w:t>采购文件（质保及免费升级</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2</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color w:val="000000"/>
          <w:sz w:val="24"/>
          <w:lang w:eastAsia="zh-CN"/>
        </w:rPr>
        <w:t>。</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eastAsia" w:eastAsia="宋体"/>
          <w:color w:val="auto"/>
          <w:kern w:val="0"/>
          <w:sz w:val="24"/>
          <w:lang w:val="en-US" w:eastAsia="zh-CN"/>
        </w:rPr>
      </w:pP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）实施过程中的具体程序功能以满足南京邮电大学通达学院大学生创新创业训练计划管理工作实际需求</w:t>
      </w:r>
      <w:r>
        <w:rPr>
          <w:rFonts w:hint="eastAsia" w:ascii="宋体" w:hAnsi="宋体"/>
          <w:color w:val="000000"/>
          <w:sz w:val="24"/>
          <w:lang w:eastAsia="zh-CN"/>
        </w:rPr>
        <w:t>，</w:t>
      </w:r>
      <w:r>
        <w:rPr>
          <w:rFonts w:hint="eastAsia" w:ascii="宋体" w:hAnsi="宋体"/>
          <w:sz w:val="24"/>
          <w:lang w:eastAsia="zh-CN"/>
        </w:rPr>
        <w:t>提供配套解决或建议方案，最优得</w:t>
      </w:r>
      <w:r>
        <w:rPr>
          <w:rFonts w:hint="eastAsia" w:ascii="宋体" w:hAnsi="宋体"/>
          <w:sz w:val="24"/>
          <w:lang w:val="en-US" w:eastAsia="zh-CN"/>
        </w:rPr>
        <w:t>5分，</w:t>
      </w:r>
      <w:r>
        <w:rPr>
          <w:rFonts w:hint="eastAsia" w:ascii="宋体" w:hAnsi="宋体"/>
          <w:color w:val="000000"/>
          <w:sz w:val="24"/>
        </w:rPr>
        <w:t>一般得</w:t>
      </w:r>
      <w:r>
        <w:rPr>
          <w:rFonts w:hint="eastAsia" w:ascii="宋体" w:hAnsi="宋体"/>
          <w:color w:val="000000"/>
          <w:sz w:val="24"/>
          <w:lang w:val="en-US" w:eastAsia="zh-CN"/>
        </w:rPr>
        <w:t>3</w:t>
      </w:r>
      <w:r>
        <w:rPr>
          <w:rFonts w:hint="eastAsia" w:ascii="宋体" w:hAnsi="宋体"/>
          <w:color w:val="000000"/>
          <w:sz w:val="24"/>
        </w:rPr>
        <w:t>分，较差得1分</w:t>
      </w:r>
      <w:r>
        <w:rPr>
          <w:rFonts w:hint="eastAsia" w:ascii="宋体" w:hAnsi="宋体"/>
          <w:color w:val="000000"/>
          <w:sz w:val="24"/>
          <w:lang w:eastAsia="zh-CN"/>
        </w:rPr>
        <w:t>。</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lang w:val="en-US" w:eastAsia="zh-CN"/>
        </w:rPr>
      </w:pPr>
      <w:r>
        <w:rPr>
          <w:rFonts w:hint="eastAsia" w:ascii="宋体" w:hAnsi="宋体"/>
          <w:b/>
          <w:sz w:val="24"/>
          <w:lang w:val="en-US" w:eastAsia="zh-CN"/>
        </w:rPr>
        <w:t>4.</w:t>
      </w:r>
      <w:r>
        <w:rPr>
          <w:rFonts w:hint="eastAsia" w:ascii="宋体" w:hAnsi="宋体"/>
          <w:b/>
          <w:sz w:val="24"/>
        </w:rPr>
        <w:t>现场演示</w:t>
      </w:r>
      <w:r>
        <w:rPr>
          <w:rFonts w:hint="eastAsia" w:ascii="宋体" w:hAnsi="宋体"/>
          <w:b/>
          <w:sz w:val="24"/>
          <w:lang w:val="en-US" w:eastAsia="zh-CN"/>
        </w:rPr>
        <w:t xml:space="preserve"> （9分）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lang w:eastAsia="zh-CN"/>
        </w:rPr>
        <w:t>评委</w:t>
      </w:r>
      <w:r>
        <w:rPr>
          <w:rFonts w:hint="eastAsia" w:ascii="宋体" w:hAnsi="宋体"/>
          <w:color w:val="000000"/>
          <w:sz w:val="24"/>
        </w:rPr>
        <w:t>根据</w:t>
      </w:r>
      <w:r>
        <w:rPr>
          <w:rFonts w:hint="eastAsia" w:ascii="宋体" w:hAnsi="宋体"/>
          <w:color w:val="000000"/>
          <w:sz w:val="24"/>
          <w:lang w:eastAsia="zh-CN"/>
        </w:rPr>
        <w:t>投标人授权代表现场演示情况</w:t>
      </w:r>
      <w:r>
        <w:rPr>
          <w:rFonts w:hint="eastAsia" w:ascii="宋体" w:hAnsi="宋体"/>
          <w:color w:val="000000"/>
          <w:sz w:val="24"/>
        </w:rPr>
        <w:t>酌情给分</w:t>
      </w:r>
      <w:r>
        <w:rPr>
          <w:rFonts w:hint="eastAsia" w:ascii="宋体" w:hAnsi="宋体"/>
          <w:color w:val="000000"/>
          <w:sz w:val="24"/>
          <w:lang w:eastAsia="zh-CN"/>
        </w:rPr>
        <w:t>，优</w:t>
      </w:r>
      <w:r>
        <w:rPr>
          <w:rFonts w:hint="eastAsia" w:ascii="宋体" w:hAnsi="宋体"/>
          <w:color w:val="000000"/>
          <w:sz w:val="24"/>
          <w:lang w:val="en-US" w:eastAsia="zh-CN"/>
        </w:rPr>
        <w:t>9</w:t>
      </w:r>
      <w:r>
        <w:rPr>
          <w:rFonts w:hint="eastAsia" w:ascii="宋体" w:hAnsi="宋体"/>
          <w:color w:val="000000"/>
          <w:sz w:val="24"/>
          <w:lang w:eastAsia="zh-CN"/>
        </w:rPr>
        <w:t>分，良好</w:t>
      </w:r>
      <w:r>
        <w:rPr>
          <w:rFonts w:hint="eastAsia" w:ascii="宋体" w:hAnsi="宋体"/>
          <w:color w:val="000000"/>
          <w:sz w:val="24"/>
          <w:lang w:val="en-US" w:eastAsia="zh-CN"/>
        </w:rPr>
        <w:t>6</w:t>
      </w:r>
      <w:r>
        <w:rPr>
          <w:rFonts w:hint="eastAsia" w:ascii="宋体" w:hAnsi="宋体"/>
          <w:color w:val="000000"/>
          <w:sz w:val="24"/>
          <w:lang w:eastAsia="zh-CN"/>
        </w:rPr>
        <w:t>分，一般</w:t>
      </w:r>
      <w:r>
        <w:rPr>
          <w:rFonts w:hint="eastAsia" w:ascii="宋体" w:hAnsi="宋体"/>
          <w:color w:val="000000"/>
          <w:sz w:val="24"/>
          <w:lang w:val="en-US" w:eastAsia="zh-CN"/>
        </w:rPr>
        <w:t>3</w:t>
      </w:r>
      <w:r>
        <w:rPr>
          <w:rFonts w:hint="eastAsia" w:ascii="宋体" w:hAnsi="宋体"/>
          <w:color w:val="000000"/>
          <w:sz w:val="24"/>
          <w:lang w:eastAsia="zh-CN"/>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2" w:firstLineChars="200"/>
        <w:jc w:val="left"/>
        <w:textAlignment w:val="auto"/>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6</w:t>
      </w:r>
      <w:r>
        <w:rPr>
          <w:rFonts w:hint="eastAsia" w:ascii="宋体" w:hAnsi="宋体"/>
          <w:b/>
          <w:sz w:val="24"/>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6</w:t>
      </w:r>
      <w:r>
        <w:rPr>
          <w:rFonts w:hint="eastAsia" w:hAnsi="宋体"/>
          <w:sz w:val="24"/>
        </w:rPr>
        <w:t>分。(</w:t>
      </w:r>
      <w:r>
        <w:rPr>
          <w:rFonts w:hint="eastAsia" w:hAnsi="宋体"/>
          <w:sz w:val="24"/>
          <w:lang w:val="en-US" w:eastAsia="zh-CN"/>
        </w:rPr>
        <w:t>6</w:t>
      </w:r>
      <w:r>
        <w:rPr>
          <w:rFonts w:hint="eastAsia" w:hAnsi="宋体"/>
          <w:sz w:val="24"/>
        </w:rPr>
        <w:t>分)</w:t>
      </w:r>
    </w:p>
    <w:p>
      <w:pPr>
        <w:keepNext w:val="0"/>
        <w:keepLines w:val="0"/>
        <w:pageBreakBefore w:val="0"/>
        <w:widowControl w:val="0"/>
        <w:kinsoku/>
        <w:wordWrap/>
        <w:overflowPunct/>
        <w:topLinePunct w:val="0"/>
        <w:autoSpaceDE/>
        <w:autoSpaceDN/>
        <w:bidi w:val="0"/>
        <w:spacing w:before="146" w:beforeLines="50" w:after="146" w:afterLines="50" w:line="360" w:lineRule="exact"/>
        <w:ind w:firstLine="600" w:firstLineChars="250"/>
        <w:textAlignment w:val="auto"/>
        <w:rPr>
          <w:rFonts w:ascii="宋体" w:hAnsi="宋体" w:cs="Arial"/>
          <w:color w:val="000000"/>
          <w:sz w:val="24"/>
        </w:rPr>
      </w:pPr>
    </w:p>
    <w:bookmarkEnd w:id="29"/>
    <w:bookmarkEnd w:id="30"/>
    <w:bookmarkEnd w:id="32"/>
    <w:bookmarkEnd w:id="33"/>
    <w:bookmarkEnd w:id="34"/>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6" w:name="_Hlt26671244"/>
      <w:bookmarkEnd w:id="36"/>
      <w:bookmarkStart w:id="37" w:name="_Hlt26955039"/>
      <w:bookmarkEnd w:id="37"/>
      <w:bookmarkStart w:id="38" w:name="_Toc26554094"/>
      <w:bookmarkStart w:id="39" w:name="_Toc49090576"/>
      <w:bookmarkStart w:id="40"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12"/>
        <w:rPr>
          <w:rFonts w:hint="eastAsia"/>
        </w:rPr>
      </w:pPr>
    </w:p>
    <w:bookmarkEnd w:id="38"/>
    <w:bookmarkEnd w:id="39"/>
    <w:bookmarkEnd w:id="40"/>
    <w:p>
      <w:pPr>
        <w:pStyle w:val="3"/>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7"/>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7"/>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7"/>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7"/>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7"/>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7"/>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1" w:name="_Toc462564147"/>
      <w:bookmarkStart w:id="42"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8"/>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20"/>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20"/>
        <w:rPr>
          <w:rFonts w:hint="eastAsia" w:ascii="宋体" w:hAnsi="宋体" w:cs="宋体"/>
        </w:rPr>
      </w:pPr>
    </w:p>
    <w:p>
      <w:pPr>
        <w:pStyle w:val="5"/>
        <w:jc w:val="center"/>
        <w:rPr>
          <w:rFonts w:hint="eastAsia" w:ascii="宋体" w:hAnsi="宋体" w:cs="宋体"/>
          <w:bCs w:val="0"/>
        </w:rPr>
      </w:pPr>
      <w:r>
        <w:rPr>
          <w:rFonts w:hint="eastAsia" w:ascii="宋体" w:hAnsi="宋体" w:cs="宋体"/>
        </w:rPr>
        <w:br w:type="page"/>
      </w:r>
      <w:bookmarkEnd w:id="41"/>
      <w:bookmarkStart w:id="43" w:name="_格式3__银行出具的资信证明"/>
      <w:bookmarkEnd w:id="43"/>
      <w:bookmarkStart w:id="44" w:name="_Hlt26671380"/>
      <w:bookmarkEnd w:id="44"/>
      <w:bookmarkStart w:id="45" w:name="_Hlt26955070"/>
      <w:bookmarkEnd w:id="45"/>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2"/>
      <w:bookmarkStart w:id="46" w:name="_Hlt26955054"/>
      <w:bookmarkEnd w:id="46"/>
      <w:r>
        <w:rPr>
          <w:rFonts w:hint="eastAsia" w:ascii="宋体" w:hAnsi="宋体" w:cs="宋体"/>
          <w:b/>
          <w:sz w:val="32"/>
          <w:szCs w:val="32"/>
        </w:rPr>
        <w:t>六、</w:t>
      </w:r>
      <w:bookmarkStart w:id="47" w:name="_格式2__法定代表人授权书"/>
      <w:bookmarkEnd w:id="47"/>
      <w:bookmarkStart w:id="48" w:name="_Toc23828478"/>
      <w:bookmarkStart w:id="49" w:name="_Toc120614283"/>
      <w:bookmarkStart w:id="50" w:name="_Toc49090577"/>
      <w:bookmarkStart w:id="51" w:name="_Toc22356580"/>
      <w:bookmarkStart w:id="52" w:name="_Toc513029276"/>
      <w:bookmarkStart w:id="53" w:name="_Toc460901585"/>
      <w:bookmarkStart w:id="54" w:name="_Toc26554095"/>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序号</w:t>
            </w:r>
          </w:p>
        </w:tc>
        <w:tc>
          <w:tcPr>
            <w:tcW w:w="2976" w:type="dxa"/>
            <w:noWrap w:val="0"/>
            <w:vAlign w:val="center"/>
          </w:tcPr>
          <w:p>
            <w:pPr>
              <w:pStyle w:val="21"/>
              <w:ind w:left="420"/>
              <w:jc w:val="center"/>
              <w:rPr>
                <w:rFonts w:hint="eastAsia" w:hAnsi="宋体"/>
                <w:color w:val="auto"/>
              </w:rPr>
            </w:pPr>
            <w:r>
              <w:rPr>
                <w:rFonts w:hint="eastAsia" w:hAnsi="宋体"/>
                <w:color w:val="auto"/>
              </w:rPr>
              <w:t>项目</w:t>
            </w:r>
          </w:p>
        </w:tc>
        <w:tc>
          <w:tcPr>
            <w:tcW w:w="1985" w:type="dxa"/>
            <w:noWrap w:val="0"/>
            <w:vAlign w:val="center"/>
          </w:tcPr>
          <w:p>
            <w:pPr>
              <w:pStyle w:val="21"/>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21"/>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21"/>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1</w:t>
            </w:r>
          </w:p>
        </w:tc>
        <w:tc>
          <w:tcPr>
            <w:tcW w:w="2976" w:type="dxa"/>
            <w:noWrap w:val="0"/>
            <w:vAlign w:val="center"/>
          </w:tcPr>
          <w:p>
            <w:pPr>
              <w:pStyle w:val="21"/>
              <w:ind w:left="420"/>
              <w:jc w:val="center"/>
              <w:rPr>
                <w:rFonts w:hint="eastAsia" w:hAnsi="宋体"/>
                <w:color w:val="auto"/>
              </w:rPr>
            </w:pPr>
            <w:r>
              <w:rPr>
                <w:rFonts w:hint="eastAsia" w:hAnsi="宋体"/>
                <w:color w:val="auto"/>
              </w:rPr>
              <w:t>质保期</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2</w:t>
            </w:r>
          </w:p>
        </w:tc>
        <w:tc>
          <w:tcPr>
            <w:tcW w:w="2976" w:type="dxa"/>
            <w:noWrap w:val="0"/>
            <w:vAlign w:val="center"/>
          </w:tcPr>
          <w:p>
            <w:pPr>
              <w:pStyle w:val="21"/>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3</w:t>
            </w:r>
          </w:p>
        </w:tc>
        <w:tc>
          <w:tcPr>
            <w:tcW w:w="2976" w:type="dxa"/>
            <w:noWrap w:val="0"/>
            <w:vAlign w:val="center"/>
          </w:tcPr>
          <w:p>
            <w:pPr>
              <w:pStyle w:val="21"/>
              <w:ind w:left="420"/>
              <w:jc w:val="center"/>
              <w:rPr>
                <w:rFonts w:hint="eastAsia" w:hAnsi="宋体"/>
                <w:color w:val="auto"/>
              </w:rPr>
            </w:pPr>
            <w:r>
              <w:rPr>
                <w:rFonts w:hint="eastAsia" w:hAnsi="宋体"/>
                <w:color w:val="auto"/>
              </w:rPr>
              <w:t>供货期</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4</w:t>
            </w:r>
          </w:p>
        </w:tc>
        <w:tc>
          <w:tcPr>
            <w:tcW w:w="2976" w:type="dxa"/>
            <w:noWrap w:val="0"/>
            <w:vAlign w:val="center"/>
          </w:tcPr>
          <w:p>
            <w:pPr>
              <w:pStyle w:val="21"/>
              <w:ind w:left="420"/>
              <w:jc w:val="center"/>
              <w:rPr>
                <w:rFonts w:hint="eastAsia" w:hAnsi="宋体"/>
                <w:color w:val="auto"/>
              </w:rPr>
            </w:pPr>
            <w:r>
              <w:rPr>
                <w:rFonts w:hint="eastAsia" w:hAnsi="宋体"/>
                <w:color w:val="auto"/>
              </w:rPr>
              <w:t>交货方式</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5</w:t>
            </w:r>
          </w:p>
        </w:tc>
        <w:tc>
          <w:tcPr>
            <w:tcW w:w="2976" w:type="dxa"/>
            <w:noWrap w:val="0"/>
            <w:vAlign w:val="center"/>
          </w:tcPr>
          <w:p>
            <w:pPr>
              <w:pStyle w:val="21"/>
              <w:ind w:left="420"/>
              <w:jc w:val="center"/>
              <w:rPr>
                <w:rFonts w:hint="eastAsia" w:hAnsi="宋体"/>
                <w:color w:val="auto"/>
              </w:rPr>
            </w:pPr>
            <w:r>
              <w:rPr>
                <w:rFonts w:hint="eastAsia" w:hAnsi="宋体"/>
                <w:color w:val="auto"/>
              </w:rPr>
              <w:t>付款方式</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6</w:t>
            </w:r>
          </w:p>
        </w:tc>
        <w:tc>
          <w:tcPr>
            <w:tcW w:w="2976" w:type="dxa"/>
            <w:noWrap w:val="0"/>
            <w:vAlign w:val="center"/>
          </w:tcPr>
          <w:p>
            <w:pPr>
              <w:pStyle w:val="21"/>
              <w:ind w:left="420"/>
              <w:jc w:val="center"/>
              <w:rPr>
                <w:rFonts w:hint="eastAsia" w:hAnsi="宋体"/>
                <w:color w:val="auto"/>
              </w:rPr>
            </w:pPr>
            <w:r>
              <w:rPr>
                <w:rFonts w:hint="eastAsia" w:hAnsi="宋体"/>
                <w:color w:val="auto"/>
              </w:rPr>
              <w:t>投标货币</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7</w:t>
            </w:r>
          </w:p>
        </w:tc>
        <w:tc>
          <w:tcPr>
            <w:tcW w:w="2976" w:type="dxa"/>
            <w:noWrap w:val="0"/>
            <w:vAlign w:val="center"/>
          </w:tcPr>
          <w:p>
            <w:pPr>
              <w:pStyle w:val="21"/>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8</w:t>
            </w:r>
          </w:p>
        </w:tc>
        <w:tc>
          <w:tcPr>
            <w:tcW w:w="2976" w:type="dxa"/>
            <w:noWrap w:val="0"/>
            <w:vAlign w:val="center"/>
          </w:tcPr>
          <w:p>
            <w:pPr>
              <w:pStyle w:val="21"/>
              <w:ind w:left="420"/>
              <w:jc w:val="center"/>
              <w:rPr>
                <w:rFonts w:hint="eastAsia" w:hAnsi="宋体"/>
                <w:color w:val="auto"/>
              </w:rPr>
            </w:pPr>
            <w:r>
              <w:rPr>
                <w:rFonts w:hint="eastAsia" w:hAnsi="宋体"/>
                <w:color w:val="auto"/>
              </w:rPr>
              <w:t>培训方式</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p>
        </w:tc>
        <w:tc>
          <w:tcPr>
            <w:tcW w:w="2976" w:type="dxa"/>
            <w:noWrap w:val="0"/>
            <w:vAlign w:val="center"/>
          </w:tcPr>
          <w:p>
            <w:pPr>
              <w:pStyle w:val="21"/>
              <w:ind w:left="420"/>
              <w:jc w:val="center"/>
              <w:rPr>
                <w:rFonts w:hint="eastAsia" w:hAnsi="宋体"/>
                <w:color w:val="auto"/>
              </w:rPr>
            </w:pP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bl>
    <w:p>
      <w:pPr>
        <w:pStyle w:val="21"/>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21"/>
        <w:spacing w:line="360" w:lineRule="exact"/>
        <w:ind w:left="420"/>
        <w:rPr>
          <w:rFonts w:hint="eastAsia" w:hAnsi="宋体"/>
          <w:color w:val="auto"/>
        </w:rPr>
      </w:pPr>
      <w:r>
        <w:rPr>
          <w:rFonts w:hint="eastAsia" w:hAnsi="宋体"/>
          <w:color w:val="auto"/>
        </w:rPr>
        <w:t>注：</w:t>
      </w:r>
    </w:p>
    <w:p>
      <w:pPr>
        <w:pStyle w:val="21"/>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21"/>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21"/>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21"/>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5" w:name="_Hlt26955041"/>
      <w:bookmarkEnd w:id="55"/>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20E1"/>
    <w:multiLevelType w:val="singleLevel"/>
    <w:tmpl w:val="994220E1"/>
    <w:lvl w:ilvl="0" w:tentative="0">
      <w:start w:val="4"/>
      <w:numFmt w:val="chineseCounting"/>
      <w:suff w:val="space"/>
      <w:lvlText w:val="第%1章"/>
      <w:lvlJc w:val="left"/>
      <w:rPr>
        <w:rFonts w:hint="eastAsia"/>
      </w:rPr>
    </w:lvl>
  </w:abstractNum>
  <w:abstractNum w:abstractNumId="1">
    <w:nsid w:val="395B28E7"/>
    <w:multiLevelType w:val="multilevel"/>
    <w:tmpl w:val="395B28E7"/>
    <w:lvl w:ilvl="0" w:tentative="0">
      <w:start w:val="1"/>
      <w:numFmt w:val="japaneseCounting"/>
      <w:lvlText w:val="%1、"/>
      <w:lvlJc w:val="left"/>
      <w:pPr>
        <w:ind w:left="510" w:hanging="51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0231122"/>
    <w:rsid w:val="01E538E2"/>
    <w:rsid w:val="01FD0F1A"/>
    <w:rsid w:val="03B871F4"/>
    <w:rsid w:val="0417416B"/>
    <w:rsid w:val="066A261C"/>
    <w:rsid w:val="086B5C0D"/>
    <w:rsid w:val="091C6A1E"/>
    <w:rsid w:val="09C975BF"/>
    <w:rsid w:val="0A406DF4"/>
    <w:rsid w:val="0BE61E15"/>
    <w:rsid w:val="0C053390"/>
    <w:rsid w:val="0CCC685B"/>
    <w:rsid w:val="123E1D71"/>
    <w:rsid w:val="14034C56"/>
    <w:rsid w:val="149D4767"/>
    <w:rsid w:val="173A6476"/>
    <w:rsid w:val="19935D99"/>
    <w:rsid w:val="1C231EE8"/>
    <w:rsid w:val="1C8E0F00"/>
    <w:rsid w:val="224E4650"/>
    <w:rsid w:val="248F23AC"/>
    <w:rsid w:val="28422A24"/>
    <w:rsid w:val="28E804FD"/>
    <w:rsid w:val="29C75490"/>
    <w:rsid w:val="2A180032"/>
    <w:rsid w:val="2B9E493B"/>
    <w:rsid w:val="2CF52DD4"/>
    <w:rsid w:val="2D441114"/>
    <w:rsid w:val="2D8C5899"/>
    <w:rsid w:val="2DD90FB9"/>
    <w:rsid w:val="2E657BCE"/>
    <w:rsid w:val="2F313A02"/>
    <w:rsid w:val="2FEA1B41"/>
    <w:rsid w:val="326616AD"/>
    <w:rsid w:val="33604DAA"/>
    <w:rsid w:val="35467EF4"/>
    <w:rsid w:val="358B76AD"/>
    <w:rsid w:val="36717245"/>
    <w:rsid w:val="3A0C49C6"/>
    <w:rsid w:val="3AEC1ED7"/>
    <w:rsid w:val="3C654F66"/>
    <w:rsid w:val="3D16713D"/>
    <w:rsid w:val="3D445660"/>
    <w:rsid w:val="3DBA39FE"/>
    <w:rsid w:val="3DED6081"/>
    <w:rsid w:val="3DEF12B0"/>
    <w:rsid w:val="3E5B52A7"/>
    <w:rsid w:val="3E5E70E8"/>
    <w:rsid w:val="40A82832"/>
    <w:rsid w:val="41FB31EE"/>
    <w:rsid w:val="43052296"/>
    <w:rsid w:val="4340759C"/>
    <w:rsid w:val="436E3563"/>
    <w:rsid w:val="446F0737"/>
    <w:rsid w:val="469A51E3"/>
    <w:rsid w:val="4ACC76DB"/>
    <w:rsid w:val="4B73395D"/>
    <w:rsid w:val="4C3E01DF"/>
    <w:rsid w:val="4C940E7B"/>
    <w:rsid w:val="554F5042"/>
    <w:rsid w:val="564760F4"/>
    <w:rsid w:val="572D711E"/>
    <w:rsid w:val="58C57AF2"/>
    <w:rsid w:val="59847A88"/>
    <w:rsid w:val="599A229C"/>
    <w:rsid w:val="5F8C6426"/>
    <w:rsid w:val="60F20420"/>
    <w:rsid w:val="63C52ACF"/>
    <w:rsid w:val="650117A0"/>
    <w:rsid w:val="6608084A"/>
    <w:rsid w:val="67546DB9"/>
    <w:rsid w:val="68ED74A7"/>
    <w:rsid w:val="6AB1449D"/>
    <w:rsid w:val="6CA95F52"/>
    <w:rsid w:val="6D034E25"/>
    <w:rsid w:val="6FF05E4C"/>
    <w:rsid w:val="75344604"/>
    <w:rsid w:val="776166CF"/>
    <w:rsid w:val="785E076F"/>
    <w:rsid w:val="78E22EB2"/>
    <w:rsid w:val="79843EBF"/>
    <w:rsid w:val="7B8C47F5"/>
    <w:rsid w:val="7E2A7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4"/>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eastAsia="宋体"/>
      <w:b/>
      <w:sz w:val="24"/>
      <w:szCs w:val="24"/>
    </w:rPr>
  </w:style>
  <w:style w:type="paragraph" w:styleId="4">
    <w:name w:val="Normal Indent"/>
    <w:basedOn w:val="1"/>
    <w:qFormat/>
    <w:uiPriority w:val="0"/>
    <w:pPr>
      <w:ind w:firstLine="420"/>
    </w:pPr>
  </w:style>
  <w:style w:type="paragraph" w:styleId="6">
    <w:name w:val="Body Text"/>
    <w:basedOn w:val="1"/>
    <w:qFormat/>
    <w:uiPriority w:val="0"/>
    <w:rPr>
      <w:rFonts w:ascii="宋体"/>
      <w:sz w:val="28"/>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cs="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qFormat/>
    <w:uiPriority w:val="0"/>
    <w:pPr>
      <w:ind w:firstLine="420" w:firstLineChars="100"/>
    </w:pPr>
  </w:style>
  <w:style w:type="paragraph" w:styleId="13">
    <w:name w:val="Body Text First Indent 2"/>
    <w:basedOn w:val="7"/>
    <w:qFormat/>
    <w:uiPriority w:val="0"/>
    <w:pPr>
      <w:ind w:firstLine="420"/>
    </w:pPr>
  </w:style>
  <w:style w:type="character" w:styleId="16">
    <w:name w:val="page number"/>
    <w:basedOn w:val="15"/>
    <w:qFormat/>
    <w:uiPriority w:val="0"/>
  </w:style>
  <w:style w:type="paragraph" w:customStyle="1" w:styleId="1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
    <w:name w:val="列出段落1"/>
    <w:basedOn w:val="1"/>
    <w:qFormat/>
    <w:uiPriority w:val="0"/>
    <w:pPr>
      <w:ind w:leftChars="200"/>
      <w:jc w:val="left"/>
    </w:pPr>
    <w:rPr>
      <w:rFonts w:ascii="Calibri" w:hAnsi="Calibri" w:eastAsia="PMingLiU" w:cs="宋体"/>
      <w:sz w:val="24"/>
      <w:szCs w:val="22"/>
      <w:lang w:eastAsia="zh-TW"/>
    </w:rPr>
  </w:style>
  <w:style w:type="paragraph" w:customStyle="1" w:styleId="19">
    <w:name w:val="pa-0"/>
    <w:basedOn w:val="1"/>
    <w:qFormat/>
    <w:uiPriority w:val="0"/>
    <w:pPr>
      <w:widowControl/>
      <w:spacing w:before="150" w:after="150"/>
      <w:jc w:val="left"/>
    </w:pPr>
    <w:rPr>
      <w:rFonts w:ascii="宋体" w:hAnsi="宋体" w:cs="宋体"/>
      <w:kern w:val="0"/>
      <w:sz w:val="24"/>
      <w:szCs w:val="24"/>
    </w:rPr>
  </w:style>
  <w:style w:type="paragraph" w:customStyle="1" w:styleId="20">
    <w:name w:val="Char"/>
    <w:basedOn w:val="1"/>
    <w:qFormat/>
    <w:uiPriority w:val="0"/>
    <w:pPr>
      <w:tabs>
        <w:tab w:val="left" w:pos="360"/>
      </w:tabs>
    </w:pPr>
    <w:rPr>
      <w:sz w:val="24"/>
      <w:szCs w:val="24"/>
    </w:rPr>
  </w:style>
  <w:style w:type="paragraph" w:customStyle="1" w:styleId="21">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列表段落"/>
    <w:basedOn w:val="1"/>
    <w:qFormat/>
    <w:uiPriority w:val="34"/>
    <w:pPr>
      <w:ind w:firstLine="420" w:firstLineChars="200"/>
    </w:pPr>
    <w:rPr>
      <w:rFonts w:ascii="Calibri" w:hAnsi="Calibri"/>
      <w:szCs w:val="22"/>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标准文本"/>
    <w:basedOn w:val="1"/>
    <w:qFormat/>
    <w:uiPriority w:val="0"/>
    <w:pPr>
      <w:spacing w:line="360" w:lineRule="auto"/>
      <w:ind w:firstLine="48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2020-11-27T01:19:37Z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