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南京邮电大学通达学院双创中心建设、多媒体更新及办公计算机采购项目</w:t>
      </w:r>
    </w:p>
    <w:p>
      <w:pPr>
        <w:pStyle w:val="30"/>
        <w:spacing w:before="0" w:after="0"/>
        <w:ind w:firstLine="0"/>
        <w:rPr>
          <w:rFonts w:ascii="宋体" w:hAnsi="宋体" w:cs="宋体"/>
        </w:rPr>
      </w:pPr>
    </w:p>
    <w:p>
      <w:pPr>
        <w:pStyle w:val="30"/>
        <w:ind w:firstLine="0"/>
        <w:jc w:val="center"/>
        <w:rPr>
          <w:rFonts w:ascii="宋体" w:hAnsi="宋体" w:cs="宋体"/>
          <w:b/>
          <w:bCs/>
          <w:sz w:val="84"/>
        </w:rPr>
      </w:pPr>
    </w:p>
    <w:p>
      <w:pPr>
        <w:pStyle w:val="30"/>
        <w:ind w:firstLine="0"/>
        <w:jc w:val="center"/>
        <w:rPr>
          <w:rFonts w:ascii="宋体" w:hAnsi="宋体" w:cs="宋体"/>
          <w:b/>
          <w:bCs/>
          <w:sz w:val="84"/>
        </w:rPr>
      </w:pPr>
    </w:p>
    <w:p>
      <w:pPr>
        <w:pStyle w:val="30"/>
        <w:ind w:firstLine="0"/>
        <w:jc w:val="center"/>
        <w:rPr>
          <w:rFonts w:hint="eastAsia" w:ascii="宋体" w:hAnsi="宋体" w:cs="宋体"/>
          <w:b/>
          <w:bCs/>
          <w:sz w:val="84"/>
        </w:rPr>
      </w:pPr>
      <w:r>
        <w:rPr>
          <w:rFonts w:hint="eastAsia" w:ascii="宋体" w:hAnsi="宋体" w:cs="宋体"/>
          <w:b/>
          <w:bCs/>
          <w:sz w:val="84"/>
        </w:rPr>
        <w:t>采 购 文 件</w:t>
      </w:r>
    </w:p>
    <w:p>
      <w:pPr>
        <w:pStyle w:val="30"/>
        <w:ind w:firstLine="0"/>
        <w:jc w:val="center"/>
        <w:rPr>
          <w:rFonts w:hint="eastAsia" w:ascii="宋体" w:hAnsi="宋体" w:eastAsia="宋体" w:cs="宋体"/>
          <w:b/>
          <w:bCs/>
          <w:sz w:val="48"/>
          <w:szCs w:val="18"/>
          <w:lang w:eastAsia="zh-CN"/>
        </w:rPr>
      </w:pPr>
      <w:r>
        <w:rPr>
          <w:rFonts w:hint="eastAsia" w:ascii="宋体" w:hAnsi="宋体" w:cs="宋体"/>
          <w:b/>
          <w:bCs/>
          <w:sz w:val="48"/>
          <w:szCs w:val="18"/>
          <w:lang w:eastAsia="zh-CN"/>
        </w:rPr>
        <w:t>（二次公告</w:t>
      </w:r>
      <w:bookmarkStart w:id="50" w:name="_GoBack"/>
      <w:bookmarkEnd w:id="50"/>
      <w:r>
        <w:rPr>
          <w:rFonts w:hint="eastAsia" w:ascii="宋体" w:hAnsi="宋体" w:cs="宋体"/>
          <w:b/>
          <w:bCs/>
          <w:sz w:val="48"/>
          <w:szCs w:val="18"/>
          <w:lang w:eastAsia="zh-CN"/>
        </w:rPr>
        <w:t>）</w:t>
      </w: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项目编号：TDHQ20200</w:t>
      </w:r>
      <w:r>
        <w:rPr>
          <w:rFonts w:hint="eastAsia" w:ascii="宋体" w:hAnsi="宋体" w:cs="宋体"/>
          <w:b/>
          <w:sz w:val="36"/>
          <w:szCs w:val="36"/>
          <w:lang w:val="en-US" w:eastAsia="zh-CN"/>
        </w:rPr>
        <w:t>27</w:t>
      </w: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30"/>
        <w:spacing w:before="0" w:after="0"/>
        <w:ind w:firstLine="0"/>
        <w:jc w:val="center"/>
        <w:rPr>
          <w:rFonts w:ascii="宋体" w:hAnsi="宋体" w:cs="宋体"/>
          <w:b/>
          <w:sz w:val="30"/>
          <w:szCs w:val="30"/>
        </w:rPr>
      </w:pPr>
      <w:r>
        <w:rPr>
          <w:rFonts w:hint="eastAsia" w:ascii="宋体" w:hAnsi="宋体" w:cs="宋体"/>
          <w:b/>
          <w:sz w:val="30"/>
          <w:szCs w:val="30"/>
        </w:rPr>
        <w:t>2020年</w:t>
      </w:r>
      <w:r>
        <w:rPr>
          <w:rFonts w:hint="eastAsia" w:ascii="宋体" w:hAnsi="宋体" w:cs="宋体"/>
          <w:b/>
          <w:sz w:val="30"/>
          <w:szCs w:val="30"/>
          <w:lang w:val="en-US" w:eastAsia="zh-CN"/>
        </w:rPr>
        <w:t>11</w:t>
      </w:r>
      <w:r>
        <w:rPr>
          <w:rFonts w:hint="eastAsia" w:ascii="宋体" w:hAnsi="宋体" w:cs="宋体"/>
          <w:b/>
          <w:sz w:val="30"/>
          <w:szCs w:val="30"/>
        </w:rPr>
        <w:t>月</w:t>
      </w:r>
    </w:p>
    <w:p>
      <w:pPr>
        <w:pStyle w:val="30"/>
        <w:ind w:firstLine="0"/>
        <w:jc w:val="center"/>
        <w:rPr>
          <w:rFonts w:ascii="宋体" w:hAnsi="宋体" w:cs="宋体"/>
          <w:b/>
          <w:bCs/>
          <w:sz w:val="32"/>
        </w:rPr>
      </w:pPr>
    </w:p>
    <w:p>
      <w:pPr>
        <w:pStyle w:val="30"/>
        <w:ind w:firstLine="0"/>
        <w:jc w:val="center"/>
        <w:rPr>
          <w:rFonts w:ascii="宋体" w:hAnsi="宋体" w:cs="宋体"/>
          <w:b/>
          <w:bCs/>
          <w:sz w:val="32"/>
        </w:rPr>
      </w:pPr>
    </w:p>
    <w:p>
      <w:pPr>
        <w:spacing w:line="480" w:lineRule="auto"/>
        <w:jc w:val="center"/>
        <w:outlineLvl w:val="0"/>
        <w:rPr>
          <w:rFonts w:ascii="宋体" w:cs="宋体"/>
          <w:b/>
          <w:sz w:val="44"/>
        </w:rPr>
      </w:pPr>
      <w:bookmarkStart w:id="0" w:name="_Toc120614210"/>
      <w:bookmarkStart w:id="1" w:name="_Toc16938516"/>
      <w:bookmarkStart w:id="2" w:name="_Toc20823272"/>
      <w:bookmarkStart w:id="3" w:name="_Toc523127445"/>
      <w:bookmarkStart w:id="4" w:name="_Toc479757206"/>
      <w:bookmarkStart w:id="5" w:name="_Toc513029200"/>
      <w:r>
        <w:rPr>
          <w:rFonts w:hint="eastAsia" w:ascii="宋体" w:hAnsi="宋体" w:cs="宋体"/>
          <w:b/>
          <w:sz w:val="44"/>
        </w:rPr>
        <w:t>目  录</w:t>
      </w:r>
    </w:p>
    <w:p>
      <w:pPr>
        <w:spacing w:line="480" w:lineRule="auto"/>
        <w:rPr>
          <w:rFonts w:ascii="宋体" w:cs="宋体"/>
          <w:b/>
          <w:sz w:val="28"/>
        </w:rPr>
      </w:pPr>
    </w:p>
    <w:p>
      <w:pPr>
        <w:numPr>
          <w:ilvl w:val="0"/>
          <w:numId w:val="1"/>
        </w:numPr>
        <w:spacing w:line="480" w:lineRule="auto"/>
        <w:outlineLvl w:val="0"/>
        <w:rPr>
          <w:rFonts w:ascii="宋体" w:cs="宋体"/>
          <w:sz w:val="36"/>
        </w:rPr>
      </w:pPr>
      <w:r>
        <w:rPr>
          <w:rFonts w:hint="eastAsia" w:ascii="宋体" w:cs="宋体"/>
          <w:sz w:val="36"/>
        </w:rPr>
        <w:t>采购公告</w:t>
      </w:r>
    </w:p>
    <w:p>
      <w:pPr>
        <w:numPr>
          <w:ilvl w:val="0"/>
          <w:numId w:val="1"/>
        </w:numPr>
        <w:spacing w:line="480" w:lineRule="auto"/>
        <w:outlineLvl w:val="0"/>
        <w:rPr>
          <w:rFonts w:ascii="宋体" w:cs="宋体"/>
          <w:sz w:val="36"/>
        </w:rPr>
      </w:pPr>
      <w:r>
        <w:rPr>
          <w:rFonts w:hint="eastAsia" w:ascii="宋体" w:hAnsi="宋体" w:cs="宋体"/>
          <w:bCs/>
          <w:sz w:val="36"/>
          <w:szCs w:val="36"/>
        </w:rPr>
        <w:t>投标人须知</w:t>
      </w:r>
    </w:p>
    <w:p>
      <w:pPr>
        <w:numPr>
          <w:ilvl w:val="0"/>
          <w:numId w:val="1"/>
        </w:numPr>
        <w:spacing w:line="480" w:lineRule="auto"/>
        <w:outlineLvl w:val="0"/>
        <w:rPr>
          <w:rFonts w:ascii="宋体" w:cs="宋体"/>
          <w:sz w:val="36"/>
        </w:rPr>
      </w:pPr>
      <w:r>
        <w:rPr>
          <w:rFonts w:hint="eastAsia" w:ascii="宋体" w:hAnsi="宋体" w:cs="宋体"/>
          <w:sz w:val="36"/>
        </w:rPr>
        <w:t>合同条款及格式</w:t>
      </w:r>
    </w:p>
    <w:p>
      <w:pPr>
        <w:numPr>
          <w:ilvl w:val="0"/>
          <w:numId w:val="1"/>
        </w:numPr>
        <w:spacing w:line="480" w:lineRule="auto"/>
        <w:outlineLvl w:val="0"/>
        <w:rPr>
          <w:rFonts w:ascii="宋体" w:cs="宋体"/>
          <w:sz w:val="36"/>
        </w:rPr>
      </w:pPr>
      <w:r>
        <w:rPr>
          <w:rFonts w:hint="eastAsia" w:ascii="宋体" w:hAnsi="宋体" w:cs="宋体"/>
          <w:sz w:val="36"/>
        </w:rPr>
        <w:t>项目需求</w:t>
      </w:r>
    </w:p>
    <w:p>
      <w:pPr>
        <w:numPr>
          <w:ilvl w:val="0"/>
          <w:numId w:val="1"/>
        </w:numPr>
        <w:spacing w:line="480" w:lineRule="auto"/>
        <w:outlineLvl w:val="0"/>
        <w:rPr>
          <w:rFonts w:ascii="宋体" w:cs="宋体"/>
          <w:sz w:val="36"/>
        </w:rPr>
      </w:pPr>
      <w:r>
        <w:rPr>
          <w:rFonts w:hint="eastAsia" w:ascii="宋体" w:hAnsi="宋体" w:cs="宋体"/>
          <w:bCs/>
          <w:sz w:val="36"/>
          <w:szCs w:val="36"/>
        </w:rPr>
        <w:t>评标方法与评标标准</w:t>
      </w:r>
    </w:p>
    <w:p>
      <w:pPr>
        <w:numPr>
          <w:ilvl w:val="0"/>
          <w:numId w:val="1"/>
        </w:numPr>
        <w:spacing w:line="480" w:lineRule="auto"/>
        <w:outlineLvl w:val="0"/>
        <w:rPr>
          <w:rFonts w:ascii="宋体" w:cs="宋体"/>
          <w:sz w:val="36"/>
        </w:rPr>
      </w:pPr>
      <w:r>
        <w:rPr>
          <w:rFonts w:hint="eastAsia" w:ascii="宋体" w:hAnsi="宋体" w:cs="宋体"/>
          <w:sz w:val="36"/>
        </w:rPr>
        <w:t>投标文件格式</w:t>
      </w:r>
    </w:p>
    <w:p>
      <w:pPr>
        <w:widowControl/>
        <w:spacing w:line="480" w:lineRule="auto"/>
        <w:jc w:val="left"/>
        <w:rPr>
          <w:rFonts w:ascii="宋体" w:cs="宋体"/>
          <w:sz w:val="36"/>
        </w:rPr>
        <w:sectPr>
          <w:pgSz w:w="11907" w:h="16840"/>
          <w:pgMar w:top="1440" w:right="1080" w:bottom="1440" w:left="1080" w:header="851" w:footer="992" w:gutter="0"/>
          <w:pgNumType w:fmt="decimal" w:start="1"/>
          <w:cols w:space="720" w:num="1"/>
        </w:sectPr>
      </w:pPr>
    </w:p>
    <w:p>
      <w:pPr>
        <w:pStyle w:val="10"/>
        <w:ind w:firstLine="883"/>
        <w:jc w:val="center"/>
        <w:rPr>
          <w:rFonts w:cs="Times New Roman"/>
          <w:b/>
          <w:sz w:val="44"/>
          <w:szCs w:val="44"/>
        </w:rPr>
      </w:pPr>
      <w:r>
        <w:rPr>
          <w:rFonts w:hint="eastAsia"/>
          <w:b/>
          <w:sz w:val="44"/>
          <w:szCs w:val="44"/>
        </w:rPr>
        <w:t>第一章  采购公告</w:t>
      </w:r>
    </w:p>
    <w:p>
      <w:pPr>
        <w:pStyle w:val="6"/>
        <w:ind w:firstLine="0" w:firstLineChars="0"/>
        <w:rPr>
          <w:rFonts w:ascii="宋体" w:hAnsi="宋体"/>
          <w:sz w:val="24"/>
          <w:szCs w:val="24"/>
        </w:rPr>
      </w:pPr>
    </w:p>
    <w:p>
      <w:pPr>
        <w:pStyle w:val="14"/>
        <w:shd w:val="clear" w:color="auto" w:fill="FFFFFF"/>
        <w:spacing w:before="0" w:beforeAutospacing="0" w:after="0" w:afterAutospacing="0" w:line="276" w:lineRule="auto"/>
        <w:ind w:firstLine="420"/>
        <w:rPr>
          <w:sz w:val="21"/>
          <w:szCs w:val="21"/>
        </w:rPr>
      </w:pPr>
      <w:r>
        <w:rPr>
          <w:rFonts w:hint="eastAsia"/>
          <w:sz w:val="21"/>
          <w:szCs w:val="21"/>
        </w:rPr>
        <w:t>根据国家招投标的法律法规和南京邮电大学的相关规定，现对南京邮电大学通达学院双创中心建设、多媒体更新及办公计算机采购项目进行公开招标采购，欢迎符合本次招标采购要求的企业参加投标。</w:t>
      </w:r>
    </w:p>
    <w:p>
      <w:pPr>
        <w:pStyle w:val="14"/>
        <w:shd w:val="clear" w:color="auto" w:fill="FFFFFF"/>
        <w:spacing w:before="0" w:beforeAutospacing="0" w:after="0" w:afterAutospacing="0" w:line="276" w:lineRule="auto"/>
        <w:ind w:firstLine="580" w:firstLineChars="275"/>
        <w:rPr>
          <w:sz w:val="21"/>
          <w:szCs w:val="21"/>
        </w:rPr>
      </w:pPr>
      <w:r>
        <w:rPr>
          <w:rFonts w:hint="eastAsia"/>
          <w:b/>
          <w:sz w:val="21"/>
          <w:szCs w:val="21"/>
        </w:rPr>
        <w:t>一、采购项目名称编号及预算：</w:t>
      </w:r>
      <w:r>
        <w:rPr>
          <w:rFonts w:hint="eastAsia"/>
          <w:sz w:val="21"/>
          <w:szCs w:val="21"/>
        </w:rPr>
        <w:t>南京邮电大学通达学院双创中心建设、多媒体更新及办公计算机采购项目（项目编号TDHQ20200</w:t>
      </w:r>
      <w:r>
        <w:rPr>
          <w:rFonts w:hint="eastAsia"/>
          <w:sz w:val="21"/>
          <w:szCs w:val="21"/>
          <w:lang w:val="en-US" w:eastAsia="zh-CN"/>
        </w:rPr>
        <w:t>27</w:t>
      </w:r>
      <w:r>
        <w:rPr>
          <w:rFonts w:hint="eastAsia"/>
          <w:sz w:val="21"/>
          <w:szCs w:val="21"/>
        </w:rPr>
        <w:t>），预算为</w:t>
      </w:r>
      <w:r>
        <w:rPr>
          <w:rFonts w:hint="eastAsia"/>
          <w:sz w:val="21"/>
          <w:szCs w:val="21"/>
          <w:lang w:val="en-US" w:eastAsia="zh-CN"/>
        </w:rPr>
        <w:t>18</w:t>
      </w:r>
      <w:r>
        <w:rPr>
          <w:rFonts w:hint="eastAsia"/>
          <w:sz w:val="21"/>
          <w:szCs w:val="21"/>
        </w:rPr>
        <w:t>万。</w:t>
      </w:r>
    </w:p>
    <w:p>
      <w:pPr>
        <w:pStyle w:val="14"/>
        <w:shd w:val="clear" w:color="auto" w:fill="FFFFFF"/>
        <w:spacing w:before="0" w:beforeAutospacing="0" w:after="0" w:afterAutospacing="0" w:line="276" w:lineRule="auto"/>
        <w:ind w:firstLine="527" w:firstLineChars="250"/>
        <w:rPr>
          <w:sz w:val="21"/>
          <w:szCs w:val="21"/>
        </w:rPr>
      </w:pPr>
      <w:r>
        <w:rPr>
          <w:rFonts w:hint="eastAsia"/>
          <w:b/>
          <w:sz w:val="21"/>
          <w:szCs w:val="21"/>
        </w:rPr>
        <w:t>二、采购项目简要说明：</w:t>
      </w:r>
      <w:r>
        <w:rPr>
          <w:rFonts w:hint="eastAsia"/>
          <w:sz w:val="21"/>
          <w:szCs w:val="21"/>
        </w:rPr>
        <w:t>1.南京邮电大学通达学院拟采购计算机一批（具体要求参见采购文件）。2.项目地点：扬州市润扬南路33号。3.技术条款咨询联系人：</w:t>
      </w:r>
      <w:r>
        <w:rPr>
          <w:rFonts w:hint="eastAsia"/>
          <w:sz w:val="21"/>
          <w:szCs w:val="21"/>
          <w:lang w:eastAsia="zh-CN"/>
        </w:rPr>
        <w:t>时</w:t>
      </w:r>
      <w:r>
        <w:rPr>
          <w:rFonts w:hint="eastAsia"/>
          <w:sz w:val="21"/>
          <w:szCs w:val="21"/>
        </w:rPr>
        <w:t>老师 ，联系电话：0514-8971602</w:t>
      </w:r>
      <w:r>
        <w:rPr>
          <w:rFonts w:hint="eastAsia"/>
          <w:sz w:val="21"/>
          <w:szCs w:val="21"/>
          <w:lang w:val="en-US" w:eastAsia="zh-CN"/>
        </w:rPr>
        <w:t>2</w:t>
      </w:r>
      <w:r>
        <w:rPr>
          <w:rFonts w:hint="eastAsia"/>
          <w:sz w:val="21"/>
          <w:szCs w:val="21"/>
        </w:rPr>
        <w:t>。（注：如不咨询，视为已理解该技术指标。）</w:t>
      </w:r>
    </w:p>
    <w:p>
      <w:pPr>
        <w:pStyle w:val="14"/>
        <w:shd w:val="clear" w:color="auto" w:fill="FFFFFF"/>
        <w:spacing w:before="0" w:beforeAutospacing="0" w:after="0" w:afterAutospacing="0" w:line="276" w:lineRule="auto"/>
        <w:ind w:firstLine="527" w:firstLineChars="250"/>
        <w:rPr>
          <w:b/>
          <w:sz w:val="21"/>
          <w:szCs w:val="21"/>
        </w:rPr>
      </w:pPr>
      <w:r>
        <w:rPr>
          <w:rFonts w:hint="eastAsia"/>
          <w:b/>
          <w:sz w:val="21"/>
          <w:szCs w:val="21"/>
        </w:rPr>
        <w:t>三、投标人资质要求：</w:t>
      </w:r>
    </w:p>
    <w:p>
      <w:pPr>
        <w:pStyle w:val="14"/>
        <w:shd w:val="clear" w:color="auto" w:fill="FFFFFF"/>
        <w:spacing w:before="0" w:beforeAutospacing="0" w:after="0" w:afterAutospacing="0" w:line="276" w:lineRule="auto"/>
        <w:rPr>
          <w:sz w:val="21"/>
          <w:szCs w:val="21"/>
        </w:rPr>
      </w:pPr>
      <w:r>
        <w:rPr>
          <w:rFonts w:hint="eastAsia"/>
          <w:sz w:val="21"/>
          <w:szCs w:val="21"/>
        </w:rPr>
        <w:t xml:space="preserve">     1、投标人必须是经国家有关部门批准，具有合法经营资质、符合《中华人民共和国政府采购法》第二十二条规定的独立法人；</w:t>
      </w:r>
    </w:p>
    <w:p>
      <w:pPr>
        <w:pStyle w:val="14"/>
        <w:shd w:val="clear" w:color="auto" w:fill="FFFFFF"/>
        <w:spacing w:before="0" w:beforeAutospacing="0" w:after="0" w:afterAutospacing="0" w:line="276" w:lineRule="auto"/>
        <w:ind w:firstLine="457" w:firstLineChars="218"/>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pPr>
        <w:pStyle w:val="14"/>
        <w:shd w:val="clear" w:color="auto" w:fill="FFFFFF"/>
        <w:spacing w:before="0" w:beforeAutospacing="0" w:after="0" w:afterAutospacing="0" w:line="276" w:lineRule="auto"/>
        <w:ind w:firstLine="457" w:firstLineChars="218"/>
        <w:rPr>
          <w:sz w:val="21"/>
          <w:szCs w:val="21"/>
        </w:rPr>
      </w:pPr>
      <w:r>
        <w:rPr>
          <w:rFonts w:hint="eastAsia" w:cs="Times New Roman"/>
          <w:color w:val="000000"/>
          <w:sz w:val="21"/>
          <w:szCs w:val="21"/>
        </w:rPr>
        <w:t>3、</w:t>
      </w:r>
      <w:r>
        <w:rPr>
          <w:rFonts w:hint="eastAsia"/>
          <w:sz w:val="21"/>
          <w:szCs w:val="21"/>
        </w:rPr>
        <w:t>投标人未被“信用中国”（www.creditchina.gov.cn）或“诚信江苏”（www.jscredit.gov.cn）或中国政府采购网（www.ccgp.gov.cn）列入失信被执行人、重大税收违法案件当事人名单、政府采购严重失信行为记录名单，提供网页截图；</w:t>
      </w:r>
    </w:p>
    <w:p>
      <w:pPr>
        <w:pStyle w:val="14"/>
        <w:shd w:val="clear" w:color="auto" w:fill="FFFFFF"/>
        <w:spacing w:before="0" w:beforeAutospacing="0" w:after="0" w:afterAutospacing="0" w:line="276" w:lineRule="auto"/>
        <w:ind w:firstLine="457" w:firstLineChars="218"/>
        <w:rPr>
          <w:sz w:val="21"/>
          <w:szCs w:val="21"/>
        </w:rPr>
      </w:pPr>
      <w:r>
        <w:rPr>
          <w:rFonts w:hint="eastAsia"/>
          <w:sz w:val="21"/>
          <w:szCs w:val="21"/>
        </w:rPr>
        <w:t>4、</w:t>
      </w:r>
      <w:r>
        <w:rPr>
          <w:rFonts w:hint="eastAsia"/>
          <w:bCs/>
          <w:sz w:val="21"/>
          <w:szCs w:val="21"/>
        </w:rPr>
        <w:t>投标人须提</w:t>
      </w:r>
      <w:r>
        <w:rPr>
          <w:rFonts w:hint="eastAsia"/>
          <w:sz w:val="21"/>
          <w:szCs w:val="21"/>
        </w:rPr>
        <w:t>供原厂授权及</w:t>
      </w:r>
      <w:r>
        <w:rPr>
          <w:rFonts w:hint="eastAsia"/>
          <w:bCs/>
          <w:sz w:val="21"/>
          <w:szCs w:val="21"/>
        </w:rPr>
        <w:t>原厂质保承诺函（原件）；投标人若非生产者，须提供生产者或其驻中国办事机构（或生产者授权的中国境内最高级别代理机构）针对本项目的专项授权书原件(加盖公章)或投标人取得的产品代理证书；</w:t>
      </w:r>
      <w:r>
        <w:rPr>
          <w:rFonts w:hint="eastAsia"/>
          <w:sz w:val="21"/>
          <w:szCs w:val="21"/>
        </w:rPr>
        <w:t xml:space="preserve"> </w:t>
      </w:r>
    </w:p>
    <w:p>
      <w:pPr>
        <w:pStyle w:val="14"/>
        <w:shd w:val="clear" w:color="auto" w:fill="FFFFFF"/>
        <w:spacing w:before="0" w:beforeAutospacing="0" w:after="0" w:afterAutospacing="0" w:line="276" w:lineRule="auto"/>
        <w:ind w:firstLine="420" w:firstLineChars="200"/>
        <w:rPr>
          <w:sz w:val="21"/>
          <w:szCs w:val="21"/>
        </w:rPr>
      </w:pPr>
      <w:r>
        <w:rPr>
          <w:rFonts w:hint="eastAsia"/>
          <w:sz w:val="21"/>
          <w:szCs w:val="21"/>
        </w:rPr>
        <w:t>5、本项目不接受联合体投标。</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四、采购文件发布信息:</w:t>
      </w:r>
      <w:r>
        <w:rPr>
          <w:rFonts w:hint="eastAsia"/>
          <w:sz w:val="21"/>
          <w:szCs w:val="21"/>
        </w:rPr>
        <w:t>采购文件发布时间：自采购公告在“南京邮电大学”</w:t>
      </w:r>
      <w:r>
        <w:rPr>
          <w:rFonts w:hint="eastAsia"/>
          <w:sz w:val="21"/>
          <w:szCs w:val="21"/>
          <w:lang w:eastAsia="zh-CN"/>
        </w:rPr>
        <w:t>及</w:t>
      </w:r>
      <w:r>
        <w:rPr>
          <w:rFonts w:hint="eastAsia"/>
          <w:sz w:val="21"/>
          <w:szCs w:val="21"/>
        </w:rPr>
        <w:t>“南京邮电大学通达学院”网页上发布之日起至投标截止时间止。供应商如确定参加投标，请于投标文件递交时间到指定地点登记报名、递交投标文件。</w:t>
      </w:r>
    </w:p>
    <w:p>
      <w:pPr>
        <w:pStyle w:val="14"/>
        <w:shd w:val="clear" w:color="auto" w:fill="FFFFFF"/>
        <w:spacing w:before="0" w:beforeAutospacing="0" w:after="0" w:afterAutospacing="0"/>
        <w:ind w:firstLine="420"/>
        <w:rPr>
          <w:rFonts w:hint="eastAsia"/>
          <w:sz w:val="21"/>
          <w:szCs w:val="21"/>
        </w:rPr>
      </w:pPr>
      <w:r>
        <w:rPr>
          <w:rFonts w:hint="eastAsia"/>
          <w:b/>
          <w:sz w:val="21"/>
          <w:szCs w:val="21"/>
        </w:rPr>
        <w:t>五、投标文件接收信息:</w:t>
      </w:r>
      <w:r>
        <w:rPr>
          <w:rFonts w:hint="eastAsia"/>
          <w:sz w:val="21"/>
          <w:szCs w:val="21"/>
        </w:rPr>
        <w:t>投标文件接收截止时间：20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19</w:t>
      </w:r>
      <w:r>
        <w:rPr>
          <w:rFonts w:hint="eastAsia"/>
          <w:sz w:val="21"/>
          <w:szCs w:val="21"/>
        </w:rPr>
        <w:t>日 上午 11:00。地点：南京邮电大学通达学院行政中心9楼91</w:t>
      </w:r>
      <w:r>
        <w:rPr>
          <w:rFonts w:hint="eastAsia"/>
          <w:sz w:val="21"/>
          <w:szCs w:val="21"/>
          <w:lang w:val="en-US" w:eastAsia="zh-CN"/>
        </w:rPr>
        <w:t>1</w:t>
      </w:r>
      <w:r>
        <w:rPr>
          <w:rFonts w:hint="eastAsia"/>
          <w:sz w:val="21"/>
          <w:szCs w:val="21"/>
        </w:rPr>
        <w:t>办公室。 联系人：</w:t>
      </w:r>
      <w:r>
        <w:rPr>
          <w:rFonts w:hint="eastAsia"/>
          <w:sz w:val="21"/>
          <w:szCs w:val="21"/>
          <w:lang w:eastAsia="zh-CN"/>
        </w:rPr>
        <w:t>李</w:t>
      </w:r>
      <w:r>
        <w:rPr>
          <w:rFonts w:hint="eastAsia"/>
          <w:sz w:val="21"/>
          <w:szCs w:val="21"/>
        </w:rPr>
        <w:t>老师， 联系电话：0514-89716083。 采购单位不接受邮寄、快递等投标，投标文件在投标截止时间后，一律不予退回。</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六、开标有关信息 :</w:t>
      </w:r>
      <w:r>
        <w:rPr>
          <w:rFonts w:hint="eastAsia"/>
          <w:sz w:val="21"/>
          <w:szCs w:val="21"/>
          <w:lang w:eastAsia="zh-CN"/>
        </w:rPr>
        <w:t>时间：</w:t>
      </w:r>
      <w:r>
        <w:rPr>
          <w:rFonts w:hint="eastAsia"/>
          <w:sz w:val="21"/>
          <w:szCs w:val="21"/>
        </w:rPr>
        <w:t>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19</w:t>
      </w:r>
      <w:r>
        <w:rPr>
          <w:rFonts w:hint="eastAsia"/>
          <w:sz w:val="21"/>
          <w:szCs w:val="21"/>
        </w:rPr>
        <w:t>日 上午 11:00</w:t>
      </w:r>
      <w:r>
        <w:rPr>
          <w:rFonts w:hint="eastAsia"/>
          <w:sz w:val="21"/>
          <w:szCs w:val="21"/>
          <w:lang w:val="en-US" w:eastAsia="zh-CN"/>
        </w:rPr>
        <w:t>,地点：行政楼9楼开标室</w:t>
      </w:r>
      <w:r>
        <w:rPr>
          <w:rFonts w:hint="eastAsia"/>
          <w:sz w:val="21"/>
          <w:szCs w:val="21"/>
        </w:rPr>
        <w:t>。</w:t>
      </w:r>
    </w:p>
    <w:p>
      <w:pPr>
        <w:pStyle w:val="14"/>
        <w:shd w:val="clear" w:color="auto" w:fill="FFFFFF"/>
        <w:spacing w:before="0" w:beforeAutospacing="0" w:after="0" w:afterAutospacing="0"/>
        <w:ind w:firstLine="420"/>
        <w:rPr>
          <w:rFonts w:hint="eastAsia"/>
          <w:sz w:val="21"/>
          <w:szCs w:val="21"/>
        </w:rPr>
      </w:pPr>
      <w:r>
        <w:rPr>
          <w:rFonts w:hint="eastAsia"/>
          <w:b/>
          <w:sz w:val="21"/>
          <w:szCs w:val="21"/>
        </w:rPr>
        <w:t>七、缴纳费用：</w:t>
      </w:r>
      <w:r>
        <w:rPr>
          <w:rFonts w:hint="eastAsia"/>
          <w:sz w:val="21"/>
          <w:szCs w:val="21"/>
        </w:rPr>
        <w:t>投标单位须在投标时缴纳100元标书费，</w:t>
      </w:r>
      <w:r>
        <w:rPr>
          <w:rFonts w:hint="eastAsia"/>
          <w:sz w:val="21"/>
          <w:szCs w:val="21"/>
          <w:lang w:val="en-US" w:eastAsia="zh-CN"/>
        </w:rPr>
        <w:t>2</w:t>
      </w:r>
      <w:r>
        <w:rPr>
          <w:rFonts w:hint="eastAsia"/>
          <w:sz w:val="21"/>
          <w:szCs w:val="21"/>
        </w:rPr>
        <w:t>000元项目投标保证金。</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八、本次招标联系事项:</w:t>
      </w:r>
      <w:r>
        <w:rPr>
          <w:rFonts w:hint="eastAsia"/>
          <w:sz w:val="21"/>
          <w:szCs w:val="21"/>
        </w:rPr>
        <w:t xml:space="preserve"> 联系人：</w:t>
      </w:r>
      <w:r>
        <w:rPr>
          <w:rFonts w:hint="eastAsia"/>
          <w:sz w:val="21"/>
          <w:szCs w:val="21"/>
          <w:lang w:eastAsia="zh-CN"/>
        </w:rPr>
        <w:t>李</w:t>
      </w:r>
      <w:r>
        <w:rPr>
          <w:rFonts w:hint="eastAsia"/>
          <w:sz w:val="21"/>
          <w:szCs w:val="21"/>
        </w:rPr>
        <w:t>老师， 联系电话：0514-8971608</w:t>
      </w:r>
      <w:r>
        <w:rPr>
          <w:rFonts w:hint="eastAsia"/>
          <w:sz w:val="21"/>
          <w:szCs w:val="21"/>
          <w:lang w:val="en-US" w:eastAsia="zh-CN"/>
        </w:rPr>
        <w:t>3</w:t>
      </w:r>
      <w:r>
        <w:rPr>
          <w:rFonts w:hint="eastAsia"/>
          <w:sz w:val="21"/>
          <w:szCs w:val="21"/>
        </w:rPr>
        <w:t xml:space="preserve">。   </w:t>
      </w:r>
    </w:p>
    <w:p>
      <w:pPr>
        <w:pStyle w:val="14"/>
        <w:shd w:val="clear" w:color="auto" w:fill="FFFFFF"/>
        <w:spacing w:before="0" w:beforeAutospacing="0" w:after="0" w:afterAutospacing="0"/>
        <w:ind w:firstLine="420"/>
        <w:rPr>
          <w:rFonts w:hint="eastAsia"/>
          <w:sz w:val="21"/>
          <w:szCs w:val="21"/>
        </w:rPr>
      </w:pP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南京邮电大学通达学院</w:t>
      </w:r>
      <w:r>
        <w:rPr>
          <w:rFonts w:hint="eastAsia"/>
          <w:sz w:val="21"/>
          <w:szCs w:val="21"/>
          <w:lang w:eastAsia="zh-CN"/>
        </w:rPr>
        <w:t>招标工作小组</w:t>
      </w:r>
      <w:r>
        <w:rPr>
          <w:rFonts w:hint="eastAsia"/>
          <w:sz w:val="21"/>
          <w:szCs w:val="21"/>
        </w:rPr>
        <w:t xml:space="preserve">　        </w:t>
      </w: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二〇二〇年</w:t>
      </w:r>
      <w:r>
        <w:rPr>
          <w:rFonts w:hint="eastAsia"/>
          <w:sz w:val="21"/>
          <w:szCs w:val="21"/>
          <w:lang w:eastAsia="zh-CN"/>
        </w:rPr>
        <w:t>十一</w:t>
      </w:r>
      <w:r>
        <w:rPr>
          <w:rFonts w:hint="eastAsia"/>
          <w:sz w:val="21"/>
          <w:szCs w:val="21"/>
        </w:rPr>
        <w:t>月</w:t>
      </w:r>
      <w:r>
        <w:rPr>
          <w:rFonts w:hint="eastAsia"/>
          <w:sz w:val="21"/>
          <w:szCs w:val="21"/>
          <w:lang w:eastAsia="zh-CN"/>
        </w:rPr>
        <w:t>十三</w:t>
      </w:r>
      <w:r>
        <w:rPr>
          <w:rFonts w:hint="eastAsia"/>
          <w:sz w:val="21"/>
          <w:szCs w:val="21"/>
        </w:rPr>
        <w:t>日</w:t>
      </w:r>
    </w:p>
    <w:p>
      <w:pPr>
        <w:pStyle w:val="14"/>
        <w:shd w:val="clear" w:color="auto" w:fill="FFFFFF"/>
        <w:spacing w:before="0" w:beforeAutospacing="0" w:after="0" w:afterAutospacing="0"/>
        <w:ind w:firstLine="420"/>
        <w:rPr>
          <w:rFonts w:hint="eastAsia"/>
          <w:sz w:val="21"/>
          <w:szCs w:val="21"/>
        </w:rPr>
      </w:pPr>
    </w:p>
    <w:p>
      <w:pPr>
        <w:pStyle w:val="14"/>
        <w:shd w:val="clear" w:color="auto" w:fill="FFFFFF"/>
        <w:spacing w:before="0" w:beforeAutospacing="0" w:after="0" w:afterAutospacing="0"/>
        <w:jc w:val="right"/>
      </w:pPr>
    </w:p>
    <w:p>
      <w:pPr>
        <w:pStyle w:val="6"/>
        <w:ind w:firstLine="0" w:firstLineChars="0"/>
        <w:sectPr>
          <w:headerReference r:id="rId3" w:type="default"/>
          <w:footerReference r:id="rId4" w:type="default"/>
          <w:pgSz w:w="11907" w:h="16840"/>
          <w:pgMar w:top="1440" w:right="1080" w:bottom="1440" w:left="1080" w:header="851" w:footer="992" w:gutter="0"/>
          <w:pgNumType w:fmt="decimal" w:start="1"/>
          <w:cols w:space="720" w:num="1"/>
          <w:docGrid w:linePitch="312" w:charSpace="0"/>
        </w:sectPr>
      </w:pPr>
    </w:p>
    <w:bookmarkEnd w:id="0"/>
    <w:p>
      <w:pPr>
        <w:pStyle w:val="10"/>
        <w:jc w:val="center"/>
        <w:rPr>
          <w:b/>
          <w:sz w:val="44"/>
          <w:szCs w:val="44"/>
        </w:rPr>
      </w:pPr>
      <w:bookmarkStart w:id="6" w:name="_Toc120614211"/>
      <w:r>
        <w:rPr>
          <w:rFonts w:hint="eastAsia"/>
          <w:b/>
          <w:sz w:val="44"/>
          <w:szCs w:val="44"/>
        </w:rPr>
        <w:t xml:space="preserve">第二章  </w:t>
      </w:r>
      <w:bookmarkEnd w:id="1"/>
      <w:bookmarkEnd w:id="2"/>
      <w:bookmarkEnd w:id="3"/>
      <w:bookmarkEnd w:id="4"/>
      <w:bookmarkEnd w:id="5"/>
      <w:bookmarkEnd w:id="6"/>
      <w:bookmarkStart w:id="7" w:name="_Toc16938518"/>
      <w:bookmarkStart w:id="8" w:name="_Toc120614213"/>
      <w:bookmarkStart w:id="9" w:name="_Toc513029202"/>
      <w:bookmarkStart w:id="10" w:name="_Toc20823274"/>
      <w:r>
        <w:rPr>
          <w:rFonts w:hint="eastAsia"/>
          <w:b/>
          <w:sz w:val="44"/>
          <w:szCs w:val="44"/>
        </w:rPr>
        <w:t>投标人须知</w:t>
      </w:r>
      <w:bookmarkEnd w:id="7"/>
      <w:bookmarkEnd w:id="8"/>
      <w:bookmarkEnd w:id="9"/>
      <w:bookmarkEnd w:id="10"/>
    </w:p>
    <w:p>
      <w:pPr>
        <w:spacing w:line="360" w:lineRule="exact"/>
        <w:ind w:firstLine="482" w:firstLineChars="200"/>
        <w:rPr>
          <w:rFonts w:ascii="宋体" w:hAnsi="宋体" w:cs="宋体"/>
          <w:b/>
          <w:sz w:val="24"/>
          <w:szCs w:val="24"/>
        </w:rPr>
      </w:pPr>
      <w:bookmarkStart w:id="11" w:name="_Toc20823275"/>
      <w:bookmarkStart w:id="12" w:name="_Toc513029203"/>
      <w:bookmarkStart w:id="13" w:name="_Toc16938519"/>
      <w:bookmarkStart w:id="14" w:name="_Toc120614214"/>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（2）合同条款及格式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（3）项目需求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（4）评标方法与评标标准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（5）投标文件格式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u w:val="single"/>
          <w:lang w:val="en-US"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投标保证金，作为其投标的组成部分之一。</w:t>
      </w:r>
    </w:p>
    <w:p>
      <w:pPr>
        <w:spacing w:line="360" w:lineRule="exact"/>
        <w:ind w:firstLine="480" w:firstLineChars="200"/>
        <w:rPr>
          <w:rFonts w:ascii="宋体" w:hAnsi="宋体" w:cs="宋体"/>
          <w:sz w:val="24"/>
          <w:szCs w:val="24"/>
        </w:rPr>
      </w:pPr>
      <w:r>
        <w:rPr>
          <w:rFonts w:hint="eastAsia" w:ascii="宋体" w:hAnsi="宋体" w:cs="宋体"/>
          <w:sz w:val="24"/>
          <w:szCs w:val="24"/>
        </w:rPr>
        <w:t>12.2投标保证金是为了保护招标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投标有效期为招标人规定的开标之日后三十(30)天内有效。如果采购人在有效期之内，可向投标人提出缩短或延长投标有效期的要求。要求与答复均应采用书面形式。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pacing w:line="360" w:lineRule="exact"/>
        <w:ind w:firstLine="480" w:firstLineChars="200"/>
        <w:rPr>
          <w:rFonts w:ascii="宋体" w:hAnsi="宋体" w:cs="宋体"/>
          <w:sz w:val="24"/>
          <w:szCs w:val="24"/>
        </w:rPr>
      </w:pPr>
      <w:r>
        <w:rPr>
          <w:rFonts w:hint="eastAsia" w:ascii="宋体" w:hAnsi="宋体" w:cs="宋体"/>
          <w:sz w:val="24"/>
          <w:szCs w:val="24"/>
        </w:rPr>
        <w:t>23.3本项目收取中标人中标服务费人民币</w:t>
      </w:r>
      <w:r>
        <w:rPr>
          <w:rFonts w:hint="eastAsia" w:ascii="宋体" w:hAnsi="宋体" w:cs="宋体"/>
          <w:sz w:val="24"/>
          <w:szCs w:val="24"/>
          <w:u w:val="single"/>
        </w:rPr>
        <w:t>壹仟元（1000元）</w:t>
      </w:r>
      <w:r>
        <w:rPr>
          <w:rFonts w:hint="eastAsia" w:ascii="宋体" w:hAnsi="宋体" w:cs="宋体"/>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pStyle w:val="10"/>
        <w:spacing w:line="340" w:lineRule="atLeast"/>
        <w:jc w:val="center"/>
        <w:rPr>
          <w:b/>
          <w:sz w:val="44"/>
          <w:szCs w:val="44"/>
        </w:rPr>
      </w:pPr>
      <w:r>
        <w:rPr>
          <w:rFonts w:hint="eastAsia"/>
          <w:sz w:val="24"/>
          <w:szCs w:val="24"/>
        </w:rPr>
        <w:br w:type="page"/>
      </w:r>
      <w:bookmarkEnd w:id="11"/>
      <w:bookmarkEnd w:id="12"/>
      <w:bookmarkEnd w:id="13"/>
      <w:bookmarkEnd w:id="14"/>
      <w:bookmarkStart w:id="15" w:name="_Toc120614221"/>
      <w:bookmarkStart w:id="16" w:name="_Toc16938558"/>
      <w:bookmarkStart w:id="17" w:name="_Toc479757207"/>
      <w:bookmarkStart w:id="18" w:name="_Toc513029242"/>
      <w:bookmarkStart w:id="19" w:name="_Toc20823314"/>
      <w:r>
        <w:rPr>
          <w:rFonts w:hint="eastAsia"/>
          <w:b/>
          <w:sz w:val="44"/>
          <w:szCs w:val="44"/>
        </w:rPr>
        <w:t>第三章  合同条款及</w:t>
      </w:r>
      <w:bookmarkEnd w:id="15"/>
      <w:bookmarkEnd w:id="16"/>
      <w:bookmarkEnd w:id="17"/>
      <w:bookmarkEnd w:id="18"/>
      <w:bookmarkEnd w:id="19"/>
      <w:r>
        <w:rPr>
          <w:rFonts w:hint="eastAsia"/>
          <w:b/>
          <w:sz w:val="44"/>
          <w:szCs w:val="44"/>
        </w:rPr>
        <w:t>格式</w:t>
      </w:r>
    </w:p>
    <w:p>
      <w:pPr>
        <w:widowControl/>
        <w:snapToGrid w:val="0"/>
        <w:spacing w:line="340" w:lineRule="atLeast"/>
        <w:ind w:firstLine="480" w:firstLineChars="200"/>
        <w:rPr>
          <w:rFonts w:ascii="宋体" w:hAnsi="宋体" w:cs="宋体"/>
          <w:sz w:val="24"/>
          <w:szCs w:val="24"/>
        </w:rPr>
      </w:pPr>
      <w:bookmarkStart w:id="20" w:name="_Toc16938559"/>
      <w:bookmarkStart w:id="21" w:name="_Toc20823315"/>
      <w:bookmarkStart w:id="22" w:name="_Toc513029243"/>
      <w:r>
        <w:rPr>
          <w:rFonts w:hint="eastAsia" w:ascii="宋体" w:hAnsi="宋体" w:cs="宋体"/>
          <w:sz w:val="24"/>
          <w:szCs w:val="24"/>
        </w:rPr>
        <w:t>以下为中标后签定本项目合同的通用条款，中标人不得提出实质性的修改，关于专用条款将由项目使用单位与中标人结合本项目具体情况协商后签订。</w:t>
      </w:r>
    </w:p>
    <w:p>
      <w:pPr>
        <w:widowControl/>
        <w:snapToGrid w:val="0"/>
        <w:spacing w:before="19" w:line="340" w:lineRule="atLeast"/>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widowControl/>
        <w:snapToGrid w:val="0"/>
        <w:spacing w:line="340" w:lineRule="atLeast"/>
        <w:rPr>
          <w:rFonts w:ascii="宋体" w:hAnsi="宋体" w:cs="宋体"/>
          <w:sz w:val="24"/>
          <w:szCs w:val="24"/>
        </w:rPr>
      </w:pPr>
      <w:r>
        <w:rPr>
          <w:rFonts w:hint="eastAsia" w:ascii="宋体" w:hAnsi="宋体" w:cs="宋体"/>
          <w:sz w:val="24"/>
          <w:szCs w:val="24"/>
        </w:rPr>
        <w:t>甲方：南京邮电大学通达学院               项目编号：</w:t>
      </w:r>
    </w:p>
    <w:p>
      <w:pPr>
        <w:widowControl/>
        <w:snapToGrid w:val="0"/>
        <w:spacing w:line="340" w:lineRule="atLeast"/>
        <w:rPr>
          <w:rFonts w:ascii="宋体" w:hAnsi="宋体" w:cs="宋体"/>
          <w:sz w:val="24"/>
          <w:szCs w:val="24"/>
        </w:rPr>
      </w:pPr>
      <w:r>
        <w:rPr>
          <w:rFonts w:hint="eastAsia" w:ascii="宋体" w:hAnsi="宋体" w:cs="宋体"/>
          <w:sz w:val="24"/>
          <w:szCs w:val="24"/>
        </w:rPr>
        <w:t xml:space="preserve">乙方：                                   </w:t>
      </w:r>
    </w:p>
    <w:p>
      <w:pPr>
        <w:widowControl/>
        <w:snapToGrid w:val="0"/>
        <w:spacing w:line="340" w:lineRule="atLeast"/>
        <w:ind w:firstLine="480" w:firstLineChars="200"/>
        <w:rPr>
          <w:rFonts w:ascii="宋体" w:hAnsi="宋体" w:cs="宋体"/>
          <w:sz w:val="24"/>
          <w:szCs w:val="24"/>
        </w:rPr>
      </w:pPr>
      <w:r>
        <w:rPr>
          <w:rFonts w:hint="eastAsia" w:ascii="宋体" w:hAnsi="宋体" w:cs="宋体"/>
          <w:sz w:val="24"/>
          <w:szCs w:val="24"/>
        </w:rPr>
        <w:t>甲乙双方根据项目招标（谈判、询价）采购结果,依据《中华人民共和国合同法》及相关法律规定，达成如下货物购销合同:</w:t>
      </w:r>
    </w:p>
    <w:p>
      <w:pPr>
        <w:widowControl/>
        <w:snapToGrid w:val="0"/>
        <w:spacing w:line="340" w:lineRule="atLeast"/>
        <w:rPr>
          <w:rFonts w:ascii="宋体" w:hAnsi="宋体" w:cs="宋体"/>
          <w:sz w:val="24"/>
        </w:rPr>
      </w:pPr>
      <w:r>
        <w:rPr>
          <w:rFonts w:hint="eastAsia" w:ascii="宋体" w:hAnsi="宋体" w:cs="宋体"/>
          <w:sz w:val="24"/>
        </w:rPr>
        <w:t>一、货物及其数量、金额：</w:t>
      </w:r>
    </w:p>
    <w:tbl>
      <w:tblPr>
        <w:tblStyle w:val="16"/>
        <w:tblW w:w="9456" w:type="dxa"/>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vAlign w:val="center"/>
          </w:tcPr>
          <w:p>
            <w:pPr>
              <w:widowControl/>
              <w:spacing w:line="340" w:lineRule="atLeast"/>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1</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pacing w:line="340" w:lineRule="atLeast"/>
              <w:jc w:val="center"/>
              <w:rPr>
                <w:rFonts w:ascii="宋体" w:hAnsi="宋体" w:cs="宋体"/>
                <w:b/>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2</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3</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vAlign w:val="center"/>
          </w:tcPr>
          <w:p>
            <w:pPr>
              <w:spacing w:line="340" w:lineRule="atLeast"/>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spacing w:line="340" w:lineRule="atLeast"/>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pStyle w:val="8"/>
        <w:spacing w:line="340" w:lineRule="exact"/>
        <w:rPr>
          <w:rFonts w:ascii="宋体" w:hAnsi="宋体"/>
          <w:sz w:val="24"/>
          <w:szCs w:val="24"/>
        </w:rPr>
      </w:pPr>
      <w:r>
        <w:rPr>
          <w:rFonts w:hint="eastAsia" w:ascii="宋体" w:hAnsi="宋体" w:cs="宋体"/>
          <w:sz w:val="24"/>
          <w:szCs w:val="24"/>
        </w:rPr>
        <w:t>二、交货时间：在规定时间按照甲方要求安装完成摆放到位。</w:t>
      </w:r>
      <w:r>
        <w:rPr>
          <w:rFonts w:hint="eastAsia" w:ascii="宋体" w:hAnsi="宋体"/>
          <w:sz w:val="24"/>
          <w:szCs w:val="24"/>
        </w:rPr>
        <w:t>验收合格后视为交付，即交付时间为甲方要求时间加10日以内的验收时间。</w:t>
      </w:r>
    </w:p>
    <w:p>
      <w:pPr>
        <w:widowControl/>
        <w:snapToGrid w:val="0"/>
        <w:spacing w:line="340" w:lineRule="exact"/>
        <w:rPr>
          <w:rFonts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40" w:lineRule="exact"/>
        <w:rPr>
          <w:rFonts w:ascii="宋体" w:hAnsi="宋体" w:cs="宋体"/>
          <w:sz w:val="24"/>
          <w:szCs w:val="24"/>
        </w:rPr>
      </w:pPr>
      <w:r>
        <w:rPr>
          <w:rFonts w:hint="eastAsia" w:ascii="宋体" w:hAnsi="宋体" w:cs="宋体"/>
          <w:sz w:val="24"/>
          <w:szCs w:val="24"/>
        </w:rPr>
        <w:t>四、付款方式：本采购项目无预付款，安装结束，经甲乙双方共同验收合格后，付至合同总额的90%；壹年后无质量问题并严格履行服务承诺，余款无息结清。甲方付款前乙方需提供合法、有效、等额的增值税专用发票，并在发票备注栏注明“教学用”字样，否则，甲方有权拒付相应款项。</w:t>
      </w:r>
    </w:p>
    <w:p>
      <w:pPr>
        <w:widowControl/>
        <w:snapToGrid w:val="0"/>
        <w:spacing w:line="340" w:lineRule="exact"/>
        <w:rPr>
          <w:rFonts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40" w:lineRule="exact"/>
        <w:rPr>
          <w:rFonts w:ascii="宋体" w:hAnsi="宋体" w:cs="宋体"/>
          <w:sz w:val="24"/>
        </w:rPr>
      </w:pPr>
      <w:r>
        <w:rPr>
          <w:rFonts w:hint="eastAsia" w:ascii="宋体" w:hAnsi="宋体" w:cs="宋体"/>
          <w:sz w:val="24"/>
        </w:rPr>
        <w:t>六、质量要求、技术标准、乙方对质量负责的条件和期限：</w:t>
      </w:r>
    </w:p>
    <w:p>
      <w:pPr>
        <w:widowControl/>
        <w:snapToGrid w:val="0"/>
        <w:spacing w:line="340" w:lineRule="exact"/>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numPr>
          <w:ins w:id="0" w:author="微软用户" w:date="2017-04-12T17:08:00Z"/>
        </w:numPr>
        <w:snapToGrid w:val="0"/>
        <w:spacing w:line="340" w:lineRule="exact"/>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招标书要求、投标文件确定承诺。货物验收后，在质量保证期内，乙方应对由于设计、工艺或材料的缺陷所发生的任何不足或故障负责，所需费用由乙方承担。</w:t>
      </w:r>
    </w:p>
    <w:p>
      <w:pPr>
        <w:widowControl/>
        <w:snapToGrid w:val="0"/>
        <w:spacing w:line="340" w:lineRule="exact"/>
        <w:rPr>
          <w:rFonts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40" w:lineRule="exact"/>
        <w:rPr>
          <w:rFonts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40" w:lineRule="exact"/>
        <w:rPr>
          <w:rFonts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40" w:lineRule="exact"/>
        <w:rPr>
          <w:rFonts w:ascii="宋体" w:hAnsi="宋体" w:cs="宋体"/>
          <w:sz w:val="24"/>
        </w:rPr>
      </w:pPr>
      <w:r>
        <w:rPr>
          <w:rFonts w:hint="eastAsia" w:ascii="宋体" w:hAnsi="宋体" w:cs="宋体"/>
          <w:sz w:val="24"/>
        </w:rPr>
        <w:t>十、违约责任</w:t>
      </w:r>
    </w:p>
    <w:p>
      <w:pPr>
        <w:widowControl/>
        <w:snapToGrid w:val="0"/>
        <w:spacing w:line="34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widowControl/>
        <w:snapToGrid w:val="0"/>
        <w:spacing w:line="340" w:lineRule="exact"/>
        <w:rPr>
          <w:rFonts w:ascii="宋体" w:hAnsi="宋体" w:cs="宋体"/>
          <w:sz w:val="24"/>
        </w:rPr>
      </w:pPr>
      <w:r>
        <w:rPr>
          <w:rFonts w:hint="eastAsia" w:ascii="宋体" w:hAnsi="宋体" w:cs="宋体"/>
          <w:sz w:val="24"/>
        </w:rPr>
        <w:t xml:space="preserve">2、乙方逾期交付货物的或者验收不合格导致逾期交付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widowControl/>
        <w:snapToGrid w:val="0"/>
        <w:spacing w:line="340" w:lineRule="exact"/>
        <w:rPr>
          <w:rFonts w:ascii="宋体" w:hAnsi="宋体" w:cs="宋体"/>
          <w:sz w:val="24"/>
        </w:rPr>
      </w:pPr>
      <w:r>
        <w:rPr>
          <w:rFonts w:hint="eastAsia" w:ascii="宋体" w:hAnsi="宋体" w:cs="宋体"/>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34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40" w:lineRule="exact"/>
        <w:rPr>
          <w:rFonts w:ascii="宋体" w:hAnsi="宋体" w:cs="宋体"/>
          <w:sz w:val="24"/>
        </w:rPr>
      </w:pPr>
      <w:r>
        <w:rPr>
          <w:rFonts w:hint="eastAsia" w:ascii="宋体" w:hAnsi="宋体" w:cs="宋体"/>
          <w:sz w:val="24"/>
        </w:rPr>
        <w:t>十一、 合同的变更和终止</w:t>
      </w:r>
    </w:p>
    <w:p>
      <w:pPr>
        <w:widowControl/>
        <w:snapToGrid w:val="0"/>
        <w:spacing w:line="34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40" w:lineRule="exact"/>
        <w:rPr>
          <w:rFonts w:ascii="宋体" w:hAnsi="宋体" w:cs="宋体"/>
          <w:sz w:val="24"/>
        </w:rPr>
      </w:pPr>
      <w:r>
        <w:rPr>
          <w:rFonts w:hint="eastAsia" w:ascii="宋体" w:hAnsi="宋体" w:cs="宋体"/>
          <w:sz w:val="24"/>
        </w:rPr>
        <w:t>十二、合同的转让</w:t>
      </w:r>
    </w:p>
    <w:p>
      <w:pPr>
        <w:widowControl/>
        <w:snapToGrid w:val="0"/>
        <w:spacing w:line="34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40" w:lineRule="exact"/>
        <w:rPr>
          <w:rFonts w:ascii="宋体" w:hAnsi="宋体" w:cs="宋体"/>
          <w:sz w:val="24"/>
        </w:rPr>
      </w:pPr>
      <w:r>
        <w:rPr>
          <w:rFonts w:hint="eastAsia" w:ascii="宋体" w:hAnsi="宋体" w:cs="宋体"/>
          <w:sz w:val="24"/>
        </w:rPr>
        <w:t>十三、 争议的解决</w:t>
      </w:r>
    </w:p>
    <w:p>
      <w:pPr>
        <w:widowControl/>
        <w:snapToGrid w:val="0"/>
        <w:spacing w:line="34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4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40" w:lineRule="exact"/>
        <w:rPr>
          <w:rFonts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0"/>
    <w:bookmarkEnd w:id="21"/>
    <w:bookmarkEnd w:id="22"/>
    <w:p>
      <w:pPr>
        <w:widowControl/>
        <w:snapToGrid w:val="0"/>
        <w:spacing w:line="340" w:lineRule="atLeast"/>
        <w:rPr>
          <w:rFonts w:ascii="宋体" w:hAnsi="宋体" w:cs="宋体"/>
        </w:rPr>
      </w:pPr>
      <w:bookmarkStart w:id="23" w:name="_Hlt16619369"/>
      <w:bookmarkEnd w:id="23"/>
      <w:bookmarkStart w:id="24" w:name="_Toc16938590"/>
      <w:bookmarkStart w:id="25" w:name="_Toc20823346"/>
      <w:bookmarkStart w:id="26" w:name="_Toc120614244"/>
      <w:bookmarkStart w:id="27" w:name="_Toc462564139"/>
      <w:bookmarkStart w:id="28" w:name="_Toc479757211"/>
      <w:bookmarkStart w:id="29" w:name="_Hlt16619350"/>
    </w:p>
    <w:p>
      <w:pPr>
        <w:widowControl/>
        <w:snapToGrid w:val="0"/>
        <w:spacing w:line="280" w:lineRule="exact"/>
        <w:rPr>
          <w:rFonts w:ascii="宋体" w:hAnsi="宋体" w:cs="宋体"/>
        </w:rPr>
      </w:pPr>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 xml:space="preserve">委托代理人（签字）：                                委托代理人（签字）：                                                                                     </w:t>
      </w:r>
    </w:p>
    <w:p>
      <w:pPr>
        <w:widowControl/>
        <w:snapToGrid w:val="0"/>
        <w:spacing w:line="280" w:lineRule="exact"/>
        <w:rPr>
          <w:rFonts w:ascii="宋体" w:hAnsi="宋体" w:cs="宋体"/>
        </w:rPr>
      </w:pPr>
      <w:r>
        <w:rPr>
          <w:rFonts w:hint="eastAsia" w:ascii="宋体" w:hAnsi="宋体" w:cs="宋体"/>
        </w:rPr>
        <w:t>开户银行：</w:t>
      </w:r>
      <w:r>
        <w:rPr>
          <w:rFonts w:ascii="宋体" w:hAnsi="宋体" w:cs="宋体"/>
          <w:bCs/>
        </w:rPr>
        <w:t>中国银行扬州分行开发区支行营业部</w:t>
      </w:r>
      <w:r>
        <w:rPr>
          <w:rFonts w:hint="eastAsia" w:ascii="宋体" w:hAnsi="宋体" w:cs="宋体"/>
        </w:rPr>
        <w:t xml:space="preserve">         开户银行： </w:t>
      </w:r>
    </w:p>
    <w:p>
      <w:pPr>
        <w:widowControl/>
        <w:snapToGrid w:val="0"/>
        <w:spacing w:line="280" w:lineRule="exact"/>
        <w:rPr>
          <w:rFonts w:ascii="宋体" w:hAnsi="宋体" w:cs="宋体"/>
        </w:rPr>
      </w:pPr>
      <w:r>
        <w:rPr>
          <w:rFonts w:hint="eastAsia" w:ascii="宋体" w:hAnsi="宋体" w:cs="宋体"/>
        </w:rPr>
        <w:t xml:space="preserve">户名：南京邮电大学通达学院                         户名： </w:t>
      </w:r>
    </w:p>
    <w:p>
      <w:pPr>
        <w:widowControl/>
        <w:snapToGrid w:val="0"/>
        <w:spacing w:line="280" w:lineRule="exact"/>
        <w:rPr>
          <w:rFonts w:ascii="宋体" w:hAnsi="宋体" w:cs="宋体"/>
        </w:rPr>
      </w:pPr>
      <w:r>
        <w:rPr>
          <w:rFonts w:hint="eastAsia" w:ascii="宋体" w:hAnsi="宋体" w:cs="宋体"/>
        </w:rPr>
        <w:t>账号：</w:t>
      </w:r>
      <w:r>
        <w:rPr>
          <w:rFonts w:ascii="宋体" w:hAnsi="宋体" w:cs="宋体"/>
          <w:bCs/>
        </w:rPr>
        <w:t>489773587772</w:t>
      </w:r>
      <w:r>
        <w:rPr>
          <w:rFonts w:hint="eastAsia" w:ascii="宋体" w:hAnsi="宋体" w:cs="宋体"/>
        </w:rPr>
        <w:t xml:space="preserve">                                 账号： </w:t>
      </w:r>
    </w:p>
    <w:p>
      <w:pPr>
        <w:widowControl/>
        <w:snapToGrid w:val="0"/>
        <w:spacing w:line="280" w:lineRule="exact"/>
        <w:rPr>
          <w:rFonts w:ascii="宋体" w:hAnsi="宋体" w:cs="宋体"/>
        </w:rPr>
      </w:pPr>
      <w:r>
        <w:rPr>
          <w:rFonts w:hint="eastAsia" w:ascii="宋体" w:hAnsi="宋体" w:cs="宋体"/>
        </w:rPr>
        <w:t>税号：</w:t>
      </w:r>
      <w:r>
        <w:rPr>
          <w:rFonts w:hint="eastAsia" w:ascii="宋体" w:hAnsi="宋体" w:cs="宋体"/>
          <w:bCs/>
        </w:rPr>
        <w:t>52320000509200179F</w:t>
      </w:r>
      <w:r>
        <w:rPr>
          <w:rFonts w:hint="eastAsia" w:ascii="宋体" w:hAnsi="宋体" w:cs="宋体"/>
        </w:rPr>
        <w:t xml:space="preserve">                           行号：</w:t>
      </w:r>
    </w:p>
    <w:p>
      <w:pPr>
        <w:widowControl/>
        <w:snapToGrid w:val="0"/>
        <w:spacing w:line="280" w:lineRule="exact"/>
        <w:rPr>
          <w:rFonts w:ascii="宋体" w:hAnsi="宋体" w:cs="宋体"/>
        </w:rPr>
      </w:pPr>
      <w:r>
        <w:rPr>
          <w:rFonts w:hint="eastAsia" w:ascii="宋体" w:hAnsi="宋体" w:cs="宋体"/>
        </w:rPr>
        <w:t xml:space="preserve">电话：0514-89716081                                税号： </w:t>
      </w:r>
    </w:p>
    <w:p>
      <w:pPr>
        <w:widowControl/>
        <w:snapToGrid w:val="0"/>
        <w:spacing w:line="280" w:lineRule="exact"/>
        <w:ind w:firstLine="1575" w:firstLineChars="750"/>
        <w:rPr>
          <w:rFonts w:ascii="宋体" w:hAnsi="宋体" w:cs="宋体"/>
        </w:rPr>
      </w:pPr>
      <w:r>
        <w:rPr>
          <w:rFonts w:hint="eastAsia" w:ascii="宋体" w:hAnsi="宋体" w:cs="宋体"/>
        </w:rPr>
        <w:t xml:space="preserve">                                    项目联系人：</w:t>
      </w:r>
    </w:p>
    <w:p>
      <w:pPr>
        <w:widowControl/>
        <w:snapToGrid w:val="0"/>
        <w:spacing w:line="280" w:lineRule="exact"/>
        <w:ind w:firstLine="4620" w:firstLineChars="2200"/>
        <w:rPr>
          <w:rFonts w:ascii="宋体" w:hAnsi="宋体" w:cs="宋体"/>
        </w:rPr>
      </w:pPr>
      <w:r>
        <w:rPr>
          <w:rFonts w:hint="eastAsia" w:ascii="宋体" w:hAnsi="宋体" w:cs="宋体"/>
        </w:rPr>
        <w:t xml:space="preserve">       联系电话：</w:t>
      </w:r>
    </w:p>
    <w:p>
      <w:pPr>
        <w:pStyle w:val="10"/>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pgNumType w:fmt="decimal"/>
          <w:cols w:space="720" w:num="1"/>
          <w:titlePg/>
          <w:docGrid w:type="lines" w:linePitch="290" w:charSpace="0"/>
        </w:sectPr>
      </w:pPr>
      <w:r>
        <w:rPr>
          <w:rFonts w:hint="eastAsia" w:hAnsi="宋体" w:cs="宋体"/>
        </w:rPr>
        <w:t>签约日期（即合同生效日期）：    年   月    日</w:t>
      </w:r>
      <w:r>
        <w:rPr>
          <w:rFonts w:hint="eastAsia"/>
        </w:rPr>
        <w:br w:type="page"/>
      </w:r>
    </w:p>
    <w:p>
      <w:pPr>
        <w:pStyle w:val="10"/>
        <w:jc w:val="center"/>
        <w:rPr>
          <w:b/>
          <w:sz w:val="44"/>
          <w:szCs w:val="44"/>
        </w:rPr>
      </w:pPr>
      <w:r>
        <w:rPr>
          <w:rFonts w:hint="eastAsia"/>
          <w:b/>
          <w:sz w:val="44"/>
          <w:szCs w:val="44"/>
        </w:rPr>
        <w:t>第四章 项目需求</w:t>
      </w:r>
    </w:p>
    <w:p>
      <w:pPr>
        <w:numPr>
          <w:ilvl w:val="0"/>
          <w:numId w:val="2"/>
        </w:numPr>
        <w:spacing w:after="156" w:afterLines="50" w:line="360" w:lineRule="auto"/>
        <w:rPr>
          <w:rFonts w:ascii="宋体" w:hAnsi="宋体"/>
          <w:b/>
          <w:sz w:val="24"/>
        </w:rPr>
      </w:pPr>
      <w:r>
        <w:rPr>
          <w:rFonts w:hint="eastAsia" w:ascii="宋体" w:hAnsi="宋体"/>
          <w:b/>
          <w:sz w:val="24"/>
        </w:rPr>
        <w:t>设备清单</w:t>
      </w:r>
    </w:p>
    <w:tbl>
      <w:tblPr>
        <w:tblStyle w:val="16"/>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046"/>
        <w:gridCol w:w="1687"/>
        <w:gridCol w:w="3340"/>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2" w:type="dxa"/>
            <w:noWrap w:val="0"/>
            <w:vAlign w:val="center"/>
          </w:tcPr>
          <w:p>
            <w:pPr>
              <w:tabs>
                <w:tab w:val="left" w:pos="360"/>
              </w:tabs>
              <w:jc w:val="center"/>
              <w:rPr>
                <w:rFonts w:ascii="宋体" w:hAnsi="宋体"/>
                <w:b/>
                <w:bCs/>
                <w:sz w:val="24"/>
              </w:rPr>
            </w:pPr>
            <w:r>
              <w:rPr>
                <w:rFonts w:ascii="宋体" w:hAnsi="宋体"/>
                <w:b/>
                <w:bCs/>
                <w:sz w:val="24"/>
              </w:rPr>
              <w:t>序号</w:t>
            </w:r>
          </w:p>
        </w:tc>
        <w:tc>
          <w:tcPr>
            <w:tcW w:w="2046" w:type="dxa"/>
            <w:noWrap w:val="0"/>
            <w:vAlign w:val="center"/>
          </w:tcPr>
          <w:p>
            <w:pPr>
              <w:tabs>
                <w:tab w:val="left" w:pos="360"/>
              </w:tabs>
              <w:jc w:val="center"/>
              <w:rPr>
                <w:rFonts w:ascii="宋体" w:hAnsi="宋体"/>
                <w:b/>
                <w:bCs/>
                <w:sz w:val="24"/>
              </w:rPr>
            </w:pPr>
            <w:r>
              <w:rPr>
                <w:rFonts w:hint="eastAsia" w:ascii="宋体" w:hAnsi="宋体"/>
                <w:b/>
                <w:bCs/>
                <w:sz w:val="24"/>
              </w:rPr>
              <w:t>设备名称</w:t>
            </w:r>
          </w:p>
        </w:tc>
        <w:tc>
          <w:tcPr>
            <w:tcW w:w="1687" w:type="dxa"/>
            <w:noWrap w:val="0"/>
            <w:vAlign w:val="center"/>
          </w:tcPr>
          <w:p>
            <w:pPr>
              <w:tabs>
                <w:tab w:val="left" w:pos="360"/>
              </w:tabs>
              <w:jc w:val="center"/>
              <w:rPr>
                <w:rFonts w:hint="eastAsia" w:ascii="宋体" w:hAnsi="宋体"/>
                <w:b/>
                <w:bCs/>
                <w:sz w:val="24"/>
              </w:rPr>
            </w:pPr>
            <w:r>
              <w:rPr>
                <w:rFonts w:ascii="宋体" w:hAnsi="宋体"/>
                <w:b/>
                <w:bCs/>
                <w:sz w:val="24"/>
              </w:rPr>
              <w:t>台套数</w:t>
            </w:r>
          </w:p>
          <w:p>
            <w:pPr>
              <w:tabs>
                <w:tab w:val="left" w:pos="360"/>
              </w:tabs>
              <w:jc w:val="center"/>
              <w:rPr>
                <w:rFonts w:ascii="宋体" w:hAnsi="宋体"/>
                <w:b/>
                <w:bCs/>
                <w:sz w:val="24"/>
              </w:rPr>
            </w:pPr>
            <w:r>
              <w:rPr>
                <w:rFonts w:ascii="宋体" w:hAnsi="宋体"/>
                <w:b/>
                <w:bCs/>
                <w:sz w:val="24"/>
              </w:rPr>
              <w:t>(</w:t>
            </w:r>
            <w:r>
              <w:rPr>
                <w:rFonts w:hint="eastAsia" w:ascii="宋体" w:hAnsi="宋体"/>
                <w:b/>
                <w:bCs/>
                <w:sz w:val="24"/>
              </w:rPr>
              <w:t>台/</w:t>
            </w:r>
            <w:r>
              <w:rPr>
                <w:rFonts w:ascii="宋体" w:hAnsi="宋体"/>
                <w:b/>
                <w:bCs/>
                <w:sz w:val="24"/>
              </w:rPr>
              <w:t>套)</w:t>
            </w:r>
          </w:p>
        </w:tc>
        <w:tc>
          <w:tcPr>
            <w:tcW w:w="3340" w:type="dxa"/>
            <w:noWrap w:val="0"/>
            <w:vAlign w:val="center"/>
          </w:tcPr>
          <w:p>
            <w:pPr>
              <w:tabs>
                <w:tab w:val="left" w:pos="360"/>
              </w:tabs>
              <w:jc w:val="center"/>
              <w:rPr>
                <w:rFonts w:ascii="宋体" w:hAnsi="宋体"/>
                <w:b/>
                <w:bCs/>
                <w:sz w:val="24"/>
              </w:rPr>
            </w:pPr>
            <w:r>
              <w:rPr>
                <w:rFonts w:ascii="宋体" w:hAnsi="宋体"/>
                <w:b/>
                <w:bCs/>
                <w:sz w:val="24"/>
              </w:rPr>
              <w:t>备注</w:t>
            </w:r>
          </w:p>
        </w:tc>
        <w:tc>
          <w:tcPr>
            <w:tcW w:w="2179" w:type="dxa"/>
            <w:noWrap w:val="0"/>
            <w:vAlign w:val="center"/>
          </w:tcPr>
          <w:p>
            <w:pPr>
              <w:tabs>
                <w:tab w:val="left" w:pos="360"/>
              </w:tabs>
              <w:jc w:val="center"/>
              <w:rPr>
                <w:rFonts w:hint="default" w:ascii="宋体" w:hAnsi="宋体" w:eastAsia="宋体" w:cs="Times New Roman"/>
                <w:b/>
                <w:bCs/>
                <w:kern w:val="2"/>
                <w:sz w:val="24"/>
                <w:szCs w:val="21"/>
                <w:lang w:val="en-US" w:eastAsia="zh-CN" w:bidi="ar-SA"/>
              </w:rPr>
            </w:pPr>
            <w:r>
              <w:rPr>
                <w:rFonts w:hint="eastAsia" w:ascii="宋体" w:hAnsi="宋体"/>
                <w:b/>
                <w:bCs/>
                <w:sz w:val="24"/>
                <w:lang w:val="en-US" w:eastAsia="zh-CN"/>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2" w:type="dxa"/>
            <w:noWrap w:val="0"/>
            <w:vAlign w:val="center"/>
          </w:tcPr>
          <w:p>
            <w:pPr>
              <w:tabs>
                <w:tab w:val="left" w:pos="360"/>
              </w:tabs>
              <w:spacing w:line="360" w:lineRule="auto"/>
              <w:jc w:val="center"/>
              <w:rPr>
                <w:rFonts w:ascii="宋体" w:hAnsi="宋体"/>
                <w:bCs/>
                <w:sz w:val="24"/>
              </w:rPr>
            </w:pPr>
            <w:r>
              <w:rPr>
                <w:rFonts w:ascii="宋体" w:hAnsi="宋体"/>
                <w:bCs/>
                <w:sz w:val="24"/>
              </w:rPr>
              <w:t>1</w:t>
            </w:r>
          </w:p>
        </w:tc>
        <w:tc>
          <w:tcPr>
            <w:tcW w:w="2046" w:type="dxa"/>
            <w:noWrap w:val="0"/>
            <w:vAlign w:val="center"/>
          </w:tcPr>
          <w:p>
            <w:pPr>
              <w:tabs>
                <w:tab w:val="left" w:pos="360"/>
              </w:tabs>
              <w:spacing w:line="360" w:lineRule="auto"/>
              <w:jc w:val="center"/>
              <w:rPr>
                <w:rFonts w:hint="eastAsia" w:ascii="宋体" w:hAnsi="宋体"/>
                <w:sz w:val="24"/>
              </w:rPr>
            </w:pPr>
            <w:r>
              <w:rPr>
                <w:rFonts w:hint="eastAsia" w:ascii="宋体" w:hAnsi="宋体"/>
                <w:sz w:val="24"/>
              </w:rPr>
              <w:t>非线性编辑电脑</w:t>
            </w:r>
          </w:p>
        </w:tc>
        <w:tc>
          <w:tcPr>
            <w:tcW w:w="1687"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2</w:t>
            </w:r>
          </w:p>
        </w:tc>
        <w:tc>
          <w:tcPr>
            <w:tcW w:w="3340" w:type="dxa"/>
            <w:noWrap w:val="0"/>
            <w:vAlign w:val="center"/>
          </w:tcPr>
          <w:p>
            <w:pPr>
              <w:tabs>
                <w:tab w:val="left" w:pos="360"/>
              </w:tabs>
              <w:spacing w:line="360" w:lineRule="auto"/>
              <w:jc w:val="center"/>
              <w:rPr>
                <w:rFonts w:hint="eastAsia" w:ascii="宋体" w:hAnsi="宋体"/>
                <w:bCs/>
                <w:color w:val="000000"/>
                <w:sz w:val="24"/>
              </w:rPr>
            </w:pPr>
            <w:r>
              <w:rPr>
                <w:rFonts w:hint="eastAsia" w:ascii="宋体" w:hAnsi="宋体"/>
                <w:bCs/>
                <w:color w:val="000000"/>
                <w:sz w:val="24"/>
              </w:rPr>
              <w:t>双创中心-融媒体广告创意与研发中心使用</w:t>
            </w:r>
          </w:p>
        </w:tc>
        <w:tc>
          <w:tcPr>
            <w:tcW w:w="2179" w:type="dxa"/>
            <w:vMerge w:val="restart"/>
            <w:noWrap w:val="0"/>
            <w:vAlign w:val="center"/>
          </w:tcPr>
          <w:p>
            <w:pPr>
              <w:pStyle w:val="2"/>
              <w:ind w:left="0" w:leftChars="0" w:firstLine="0" w:firstLineChars="0"/>
              <w:jc w:val="center"/>
              <w:rPr>
                <w:rFonts w:hint="eastAsia" w:ascii="宋体" w:hAnsi="宋体" w:eastAsia="宋体" w:cs="Times New Roman"/>
                <w:color w:val="000000"/>
                <w:kern w:val="2"/>
                <w:sz w:val="24"/>
                <w:szCs w:val="21"/>
                <w:lang w:val="en-US" w:eastAsia="zh-CN" w:bidi="ar-SA"/>
              </w:rPr>
            </w:pPr>
            <w:r>
              <w:rPr>
                <w:rFonts w:hint="eastAsia" w:ascii="宋体" w:hAnsi="宋体"/>
                <w:color w:val="000000"/>
                <w:sz w:val="24"/>
                <w:lang w:val="en-US" w:eastAsia="zh-CN"/>
              </w:rPr>
              <w:t>戴尔、惠普、联想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2" w:type="dxa"/>
            <w:noWrap w:val="0"/>
            <w:vAlign w:val="center"/>
          </w:tcPr>
          <w:p>
            <w:pPr>
              <w:tabs>
                <w:tab w:val="left" w:pos="360"/>
              </w:tabs>
              <w:spacing w:line="360" w:lineRule="auto"/>
              <w:jc w:val="center"/>
              <w:rPr>
                <w:rFonts w:ascii="宋体" w:hAnsi="宋体"/>
                <w:bCs/>
                <w:sz w:val="24"/>
              </w:rPr>
            </w:pPr>
            <w:r>
              <w:rPr>
                <w:rFonts w:hint="eastAsia" w:ascii="宋体" w:hAnsi="宋体"/>
                <w:bCs/>
                <w:sz w:val="24"/>
              </w:rPr>
              <w:t>2</w:t>
            </w:r>
          </w:p>
        </w:tc>
        <w:tc>
          <w:tcPr>
            <w:tcW w:w="2046"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办公用机</w:t>
            </w:r>
          </w:p>
        </w:tc>
        <w:tc>
          <w:tcPr>
            <w:tcW w:w="1687"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20</w:t>
            </w:r>
          </w:p>
        </w:tc>
        <w:tc>
          <w:tcPr>
            <w:tcW w:w="3340" w:type="dxa"/>
            <w:noWrap w:val="0"/>
            <w:vAlign w:val="center"/>
          </w:tcPr>
          <w:p>
            <w:pPr>
              <w:pStyle w:val="2"/>
              <w:ind w:left="0" w:leftChars="0" w:firstLine="0"/>
              <w:jc w:val="center"/>
              <w:rPr>
                <w:rFonts w:hint="eastAsia" w:ascii="宋体" w:hAnsi="宋体"/>
                <w:bCs/>
                <w:sz w:val="24"/>
              </w:rPr>
            </w:pPr>
          </w:p>
        </w:tc>
        <w:tc>
          <w:tcPr>
            <w:tcW w:w="2179" w:type="dxa"/>
            <w:vMerge w:val="continue"/>
            <w:noWrap w:val="0"/>
            <w:vAlign w:val="center"/>
          </w:tcPr>
          <w:p>
            <w:pPr>
              <w:pStyle w:val="2"/>
              <w:ind w:left="0" w:leftChars="0" w:firstLine="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2"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3</w:t>
            </w:r>
          </w:p>
        </w:tc>
        <w:tc>
          <w:tcPr>
            <w:tcW w:w="2046" w:type="dxa"/>
            <w:noWrap w:val="0"/>
            <w:vAlign w:val="center"/>
          </w:tcPr>
          <w:p>
            <w:pPr>
              <w:tabs>
                <w:tab w:val="left" w:pos="360"/>
              </w:tabs>
              <w:spacing w:line="360" w:lineRule="auto"/>
              <w:jc w:val="center"/>
              <w:rPr>
                <w:rFonts w:hint="eastAsia" w:ascii="宋体" w:hAnsi="宋体"/>
                <w:sz w:val="24"/>
              </w:rPr>
            </w:pPr>
            <w:r>
              <w:rPr>
                <w:rFonts w:hint="eastAsia" w:ascii="宋体" w:hAnsi="宋体"/>
                <w:sz w:val="24"/>
              </w:rPr>
              <w:t>多媒体更新用机</w:t>
            </w:r>
          </w:p>
        </w:tc>
        <w:tc>
          <w:tcPr>
            <w:tcW w:w="1687" w:type="dxa"/>
            <w:noWrap w:val="0"/>
            <w:vAlign w:val="center"/>
          </w:tcPr>
          <w:p>
            <w:pPr>
              <w:tabs>
                <w:tab w:val="left" w:pos="360"/>
              </w:tabs>
              <w:spacing w:line="360" w:lineRule="auto"/>
              <w:jc w:val="center"/>
              <w:rPr>
                <w:rFonts w:ascii="宋体" w:hAnsi="宋体"/>
                <w:bCs/>
                <w:sz w:val="24"/>
              </w:rPr>
            </w:pPr>
            <w:r>
              <w:rPr>
                <w:rFonts w:hint="eastAsia" w:ascii="宋体" w:hAnsi="宋体"/>
                <w:bCs/>
                <w:sz w:val="24"/>
              </w:rPr>
              <w:t>10</w:t>
            </w:r>
          </w:p>
        </w:tc>
        <w:tc>
          <w:tcPr>
            <w:tcW w:w="3340" w:type="dxa"/>
            <w:noWrap w:val="0"/>
            <w:vAlign w:val="center"/>
          </w:tcPr>
          <w:p>
            <w:pPr>
              <w:tabs>
                <w:tab w:val="left" w:pos="360"/>
              </w:tabs>
              <w:spacing w:line="360" w:lineRule="auto"/>
              <w:jc w:val="center"/>
              <w:rPr>
                <w:rFonts w:ascii="宋体" w:hAnsi="宋体"/>
                <w:bCs/>
                <w:color w:val="000000"/>
                <w:sz w:val="24"/>
              </w:rPr>
            </w:pPr>
          </w:p>
        </w:tc>
        <w:tc>
          <w:tcPr>
            <w:tcW w:w="2179" w:type="dxa"/>
            <w:vMerge w:val="continue"/>
            <w:noWrap w:val="0"/>
            <w:vAlign w:val="center"/>
          </w:tcPr>
          <w:p>
            <w:pPr>
              <w:tabs>
                <w:tab w:val="left" w:pos="360"/>
              </w:tabs>
              <w:spacing w:line="360" w:lineRule="auto"/>
              <w:jc w:val="center"/>
              <w:rPr>
                <w:rFonts w:ascii="宋体" w:hAnsi="宋体"/>
                <w:bCs/>
                <w:color w:val="000000"/>
                <w:sz w:val="24"/>
              </w:rPr>
            </w:pPr>
          </w:p>
        </w:tc>
      </w:tr>
    </w:tbl>
    <w:p>
      <w:pPr>
        <w:pStyle w:val="2"/>
        <w:spacing w:before="156" w:beforeLines="50"/>
        <w:ind w:left="0" w:leftChars="0" w:firstLine="361" w:firstLineChars="150"/>
        <w:rPr>
          <w:rFonts w:hint="eastAsia" w:ascii="宋体" w:hAnsi="宋体" w:cs="Tahoma"/>
          <w:b/>
          <w:kern w:val="0"/>
          <w:sz w:val="24"/>
        </w:rPr>
      </w:pPr>
      <w:r>
        <w:rPr>
          <w:rFonts w:hint="eastAsia" w:ascii="宋体" w:hAnsi="宋体" w:cs="Tahoma"/>
          <w:b/>
          <w:kern w:val="0"/>
          <w:sz w:val="24"/>
        </w:rPr>
        <w:t>（一）非线性编辑电脑</w:t>
      </w:r>
    </w:p>
    <w:tbl>
      <w:tblPr>
        <w:tblStyle w:val="16"/>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877" w:type="dxa"/>
            <w:noWrap w:val="0"/>
            <w:vAlign w:val="center"/>
          </w:tcPr>
          <w:p>
            <w:pPr>
              <w:widowControl/>
              <w:rPr>
                <w:rFonts w:ascii="宋体" w:hAnsi="宋体" w:cs="宋体"/>
                <w:kern w:val="0"/>
                <w:sz w:val="24"/>
              </w:rPr>
            </w:pPr>
            <w:r>
              <w:rPr>
                <w:rFonts w:ascii="宋体" w:hAnsi="宋体" w:cs="宋体"/>
                <w:kern w:val="0"/>
                <w:sz w:val="24"/>
              </w:rPr>
              <w:t>CPU</w:t>
            </w:r>
          </w:p>
        </w:tc>
        <w:tc>
          <w:tcPr>
            <w:tcW w:w="7553" w:type="dxa"/>
            <w:noWrap w:val="0"/>
            <w:vAlign w:val="center"/>
          </w:tcPr>
          <w:p>
            <w:pPr>
              <w:widowControl/>
              <w:jc w:val="left"/>
              <w:rPr>
                <w:kern w:val="0"/>
                <w:sz w:val="24"/>
              </w:rPr>
            </w:pPr>
            <w:r>
              <w:rPr>
                <w:rFonts w:ascii="宋体" w:hAnsi="宋体" w:cs="Tahoma"/>
                <w:kern w:val="0"/>
                <w:sz w:val="24"/>
              </w:rPr>
              <w:t>★</w:t>
            </w:r>
            <w:r>
              <w:rPr>
                <w:rFonts w:hint="eastAsia" w:ascii="宋体" w:hAnsi="宋体" w:cs="Tahoma"/>
                <w:kern w:val="0"/>
                <w:sz w:val="24"/>
              </w:rPr>
              <w:t>≥Inte core i7-10700k以上处理器，8</w:t>
            </w:r>
            <w:r>
              <w:rPr>
                <w:rFonts w:ascii="宋体" w:hAnsi="宋体" w:cs="Tahoma"/>
                <w:kern w:val="0"/>
                <w:sz w:val="24"/>
              </w:rPr>
              <w:t>核</w:t>
            </w:r>
            <w:r>
              <w:rPr>
                <w:rFonts w:hint="eastAsia" w:ascii="宋体" w:hAnsi="宋体" w:cs="Tahoma"/>
                <w:kern w:val="0"/>
                <w:sz w:val="24"/>
              </w:rPr>
              <w:t>16</w:t>
            </w:r>
            <w:r>
              <w:rPr>
                <w:rFonts w:ascii="宋体" w:hAnsi="宋体" w:cs="Tahoma"/>
                <w:kern w:val="0"/>
                <w:sz w:val="24"/>
              </w:rPr>
              <w:t>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color w:val="FF0000"/>
                <w:kern w:val="0"/>
                <w:sz w:val="24"/>
              </w:rPr>
            </w:pPr>
            <w:r>
              <w:rPr>
                <w:rFonts w:hint="eastAsia" w:ascii="宋体" w:hAnsi="宋体" w:cs="宋体"/>
                <w:kern w:val="0"/>
                <w:sz w:val="24"/>
              </w:rPr>
              <w:t>内存</w:t>
            </w:r>
          </w:p>
        </w:tc>
        <w:tc>
          <w:tcPr>
            <w:tcW w:w="7553" w:type="dxa"/>
            <w:noWrap w:val="0"/>
            <w:vAlign w:val="top"/>
          </w:tcPr>
          <w:p>
            <w:pPr>
              <w:widowControl/>
              <w:rPr>
                <w:kern w:val="0"/>
                <w:sz w:val="24"/>
              </w:rPr>
            </w:pPr>
            <w:r>
              <w:rPr>
                <w:rFonts w:hAnsi="宋体"/>
                <w:kern w:val="0"/>
                <w:sz w:val="24"/>
              </w:rPr>
              <w:t>★</w:t>
            </w:r>
            <w:r>
              <w:rPr>
                <w:rFonts w:hint="eastAsia" w:ascii="宋体" w:hAnsi="宋体" w:cs="Tahoma"/>
                <w:kern w:val="0"/>
                <w:sz w:val="24"/>
              </w:rPr>
              <w:t>DDR4，3000频， 16G*2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Tahoma"/>
                <w:kern w:val="0"/>
                <w:sz w:val="24"/>
              </w:rPr>
              <w:t>硬盘</w:t>
            </w:r>
          </w:p>
        </w:tc>
        <w:tc>
          <w:tcPr>
            <w:tcW w:w="7553" w:type="dxa"/>
            <w:noWrap w:val="0"/>
            <w:vAlign w:val="top"/>
          </w:tcPr>
          <w:p>
            <w:pPr>
              <w:widowControl/>
              <w:numPr>
                <w:ilvl w:val="0"/>
                <w:numId w:val="3"/>
              </w:numPr>
              <w:rPr>
                <w:kern w:val="0"/>
                <w:sz w:val="24"/>
              </w:rPr>
            </w:pPr>
            <w:r>
              <w:rPr>
                <w:kern w:val="0"/>
                <w:sz w:val="24"/>
              </w:rPr>
              <w:t xml:space="preserve">HDD SATA </w:t>
            </w:r>
            <w:r>
              <w:rPr>
                <w:rFonts w:hint="eastAsia" w:ascii="宋体" w:hAnsi="宋体" w:cs="Tahoma"/>
                <w:kern w:val="0"/>
                <w:sz w:val="24"/>
              </w:rPr>
              <w:t>≥2T，</w:t>
            </w:r>
            <w:r>
              <w:rPr>
                <w:kern w:val="0"/>
                <w:sz w:val="24"/>
              </w:rPr>
              <w:t>SSD</w:t>
            </w:r>
            <w:r>
              <w:rPr>
                <w:rFonts w:hint="eastAsia" w:ascii="宋体" w:hAnsi="宋体" w:cs="Tahoma"/>
                <w:kern w:val="0"/>
                <w:sz w:val="24"/>
              </w:rPr>
              <w:t>≥256G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Tahoma"/>
                <w:kern w:val="0"/>
                <w:sz w:val="24"/>
              </w:rPr>
              <w:t>显存</w:t>
            </w:r>
          </w:p>
        </w:tc>
        <w:tc>
          <w:tcPr>
            <w:tcW w:w="7553" w:type="dxa"/>
            <w:noWrap w:val="0"/>
            <w:vAlign w:val="top"/>
          </w:tcPr>
          <w:p>
            <w:pPr>
              <w:widowControl/>
              <w:rPr>
                <w:kern w:val="0"/>
                <w:sz w:val="24"/>
              </w:rPr>
            </w:pPr>
            <w:r>
              <w:rPr>
                <w:rFonts w:hint="eastAsia" w:ascii="宋体" w:hAnsi="宋体" w:cs="Tahoma"/>
                <w:kern w:val="0"/>
                <w:sz w:val="24"/>
              </w:rPr>
              <w:t>≥6G 独立显存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Tahoma"/>
                <w:kern w:val="0"/>
                <w:sz w:val="24"/>
              </w:rPr>
              <w:t>电源</w:t>
            </w:r>
          </w:p>
        </w:tc>
        <w:tc>
          <w:tcPr>
            <w:tcW w:w="7553" w:type="dxa"/>
            <w:noWrap w:val="0"/>
            <w:vAlign w:val="top"/>
          </w:tcPr>
          <w:p>
            <w:pPr>
              <w:widowControl/>
              <w:rPr>
                <w:kern w:val="0"/>
                <w:sz w:val="24"/>
              </w:rPr>
            </w:pPr>
            <w:r>
              <w:rPr>
                <w:rFonts w:hint="eastAsia" w:ascii="宋体" w:hAnsi="宋体" w:cs="Tahoma"/>
                <w:kern w:val="0"/>
                <w:sz w:val="24"/>
              </w:rPr>
              <w:t>≥500W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Tahoma"/>
                <w:kern w:val="0"/>
                <w:sz w:val="24"/>
              </w:rPr>
              <w:t>显示器</w:t>
            </w:r>
          </w:p>
        </w:tc>
        <w:tc>
          <w:tcPr>
            <w:tcW w:w="7553" w:type="dxa"/>
            <w:noWrap w:val="0"/>
            <w:vAlign w:val="top"/>
          </w:tcPr>
          <w:p>
            <w:pPr>
              <w:widowControl/>
              <w:rPr>
                <w:kern w:val="0"/>
                <w:sz w:val="24"/>
              </w:rPr>
            </w:pPr>
            <w:r>
              <w:rPr>
                <w:rFonts w:hint="eastAsia" w:ascii="宋体" w:hAnsi="宋体" w:cs="Tahoma"/>
                <w:kern w:val="0"/>
                <w:sz w:val="24"/>
              </w:rPr>
              <w:t>≥27英寸（IPS技术屏）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网卡</w:t>
            </w:r>
          </w:p>
        </w:tc>
        <w:tc>
          <w:tcPr>
            <w:tcW w:w="7553" w:type="dxa"/>
            <w:noWrap w:val="0"/>
            <w:vAlign w:val="top"/>
          </w:tcPr>
          <w:p>
            <w:pPr>
              <w:widowControl/>
              <w:ind w:firstLine="120" w:firstLineChars="50"/>
              <w:rPr>
                <w:kern w:val="0"/>
                <w:sz w:val="24"/>
              </w:rPr>
            </w:pPr>
            <w:r>
              <w:rPr>
                <w:kern w:val="0"/>
                <w:sz w:val="24"/>
              </w:rPr>
              <w:t>10/100/1000M</w:t>
            </w:r>
            <w:r>
              <w:rPr>
                <w:rFonts w:hAnsi="宋体"/>
                <w:kern w:val="0"/>
                <w:sz w:val="24"/>
              </w:rPr>
              <w:t>自适应</w:t>
            </w:r>
            <w:r>
              <w:rPr>
                <w:rFonts w:hint="eastAsia" w:hAnsi="宋体"/>
                <w:kern w:val="0"/>
                <w:sz w:val="24"/>
              </w:rPr>
              <w:t>，</w:t>
            </w:r>
            <w:r>
              <w:rPr>
                <w:kern w:val="0"/>
                <w:sz w:val="24"/>
              </w:rPr>
              <w:t>RJ45</w:t>
            </w:r>
            <w:r>
              <w:rPr>
                <w:rFonts w:hAnsi="宋体"/>
                <w:kern w:val="0"/>
                <w:sz w:val="24"/>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声卡</w:t>
            </w:r>
          </w:p>
        </w:tc>
        <w:tc>
          <w:tcPr>
            <w:tcW w:w="7553" w:type="dxa"/>
            <w:noWrap w:val="0"/>
            <w:vAlign w:val="top"/>
          </w:tcPr>
          <w:p>
            <w:pPr>
              <w:widowControl/>
              <w:rPr>
                <w:kern w:val="0"/>
                <w:sz w:val="24"/>
              </w:rPr>
            </w:pPr>
            <w:r>
              <w:rPr>
                <w:rFonts w:hAnsi="宋体"/>
                <w:kern w:val="0"/>
                <w:sz w:val="24"/>
              </w:rPr>
              <w:t>集成声卡</w:t>
            </w:r>
            <w:r>
              <w:rPr>
                <w:kern w:val="0"/>
                <w:sz w:val="24"/>
              </w:rPr>
              <w:t>,5.1</w:t>
            </w:r>
            <w:r>
              <w:rPr>
                <w:rFonts w:hAnsi="宋体"/>
                <w:kern w:val="0"/>
                <w:sz w:val="24"/>
              </w:rPr>
              <w:t>声道</w:t>
            </w:r>
            <w:r>
              <w:rPr>
                <w:rFonts w:hint="eastAsia" w:hAnsi="宋体"/>
                <w:kern w:val="0"/>
                <w:sz w:val="24"/>
              </w:rPr>
              <w:t>，</w:t>
            </w:r>
            <w:r>
              <w:rPr>
                <w:rFonts w:hAnsi="宋体"/>
                <w:kern w:val="0"/>
                <w:sz w:val="24"/>
              </w:rPr>
              <w:t>前置音频接口</w:t>
            </w:r>
            <w:r>
              <w:rPr>
                <w:rFonts w:hint="eastAsia" w:ascii="宋体" w:hAnsi="宋体" w:cs="Tahoma"/>
                <w:kern w:val="0"/>
                <w:sz w:val="24"/>
              </w:rPr>
              <w:t>≥</w:t>
            </w:r>
            <w:r>
              <w:rPr>
                <w:kern w:val="0"/>
                <w:sz w:val="24"/>
              </w:rPr>
              <w:t>2</w:t>
            </w:r>
            <w:r>
              <w:rPr>
                <w:rFonts w:hAnsi="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接口</w:t>
            </w:r>
          </w:p>
        </w:tc>
        <w:tc>
          <w:tcPr>
            <w:tcW w:w="7553" w:type="dxa"/>
            <w:noWrap w:val="0"/>
            <w:vAlign w:val="top"/>
          </w:tcPr>
          <w:p>
            <w:pPr>
              <w:widowControl/>
              <w:rPr>
                <w:kern w:val="0"/>
                <w:sz w:val="24"/>
              </w:rPr>
            </w:pPr>
            <w:r>
              <w:rPr>
                <w:color w:val="000000"/>
                <w:kern w:val="0"/>
                <w:sz w:val="24"/>
              </w:rPr>
              <w:t>USB3.1</w:t>
            </w:r>
            <w:r>
              <w:rPr>
                <w:rFonts w:hAnsi="宋体"/>
                <w:color w:val="000000"/>
                <w:kern w:val="0"/>
                <w:sz w:val="24"/>
              </w:rPr>
              <w:t>接口</w:t>
            </w:r>
            <w:r>
              <w:rPr>
                <w:rFonts w:hint="eastAsia" w:ascii="宋体" w:hAnsi="宋体" w:cs="Tahoma"/>
                <w:kern w:val="0"/>
                <w:sz w:val="24"/>
              </w:rPr>
              <w:t>≥</w:t>
            </w:r>
            <w:r>
              <w:rPr>
                <w:color w:val="000000"/>
                <w:kern w:val="0"/>
                <w:sz w:val="24"/>
              </w:rPr>
              <w:t>6</w:t>
            </w:r>
            <w:r>
              <w:rPr>
                <w:rFonts w:hAnsi="宋体"/>
                <w:color w:val="000000"/>
                <w:kern w:val="0"/>
                <w:sz w:val="24"/>
              </w:rPr>
              <w:t>个</w:t>
            </w:r>
            <w:r>
              <w:rPr>
                <w:color w:val="000000"/>
                <w:kern w:val="0"/>
                <w:sz w:val="24"/>
              </w:rPr>
              <w:t>(</w:t>
            </w:r>
            <w:r>
              <w:rPr>
                <w:rFonts w:hAnsi="宋体"/>
                <w:color w:val="000000"/>
                <w:kern w:val="0"/>
                <w:sz w:val="24"/>
              </w:rPr>
              <w:t>前置</w:t>
            </w:r>
            <w:r>
              <w:rPr>
                <w:color w:val="000000"/>
                <w:kern w:val="0"/>
                <w:sz w:val="24"/>
              </w:rPr>
              <w:t>USB 3.1</w:t>
            </w:r>
            <w:r>
              <w:rPr>
                <w:rFonts w:hAnsi="宋体"/>
                <w:color w:val="000000"/>
                <w:kern w:val="0"/>
                <w:sz w:val="24"/>
              </w:rPr>
              <w:t>接口</w:t>
            </w:r>
            <w:r>
              <w:rPr>
                <w:rFonts w:hint="eastAsia" w:ascii="宋体" w:hAnsi="宋体" w:cs="Tahoma"/>
                <w:kern w:val="0"/>
                <w:sz w:val="24"/>
              </w:rPr>
              <w:t>≥</w:t>
            </w:r>
            <w:r>
              <w:rPr>
                <w:color w:val="000000"/>
                <w:kern w:val="0"/>
                <w:sz w:val="24"/>
              </w:rPr>
              <w:t>4</w:t>
            </w:r>
            <w:r>
              <w:rPr>
                <w:rFonts w:hAnsi="宋体"/>
                <w:color w:val="000000"/>
                <w:kern w:val="0"/>
                <w:sz w:val="24"/>
              </w:rPr>
              <w:t>个</w:t>
            </w:r>
            <w:r>
              <w:rPr>
                <w:color w:val="000000"/>
                <w:kern w:val="0"/>
                <w:sz w:val="24"/>
              </w:rPr>
              <w:t>)</w:t>
            </w:r>
            <w:r>
              <w:rPr>
                <w:rFonts w:hint="eastAsia"/>
                <w:color w:val="000000"/>
                <w:kern w:val="0"/>
                <w:sz w:val="24"/>
              </w:rPr>
              <w:t>，</w:t>
            </w:r>
            <w:r>
              <w:rPr>
                <w:color w:val="000000"/>
                <w:kern w:val="0"/>
                <w:sz w:val="24"/>
              </w:rPr>
              <w:t>HDMI</w:t>
            </w:r>
            <w:r>
              <w:rPr>
                <w:rFonts w:hint="eastAsia"/>
                <w:color w:val="000000"/>
                <w:kern w:val="0"/>
                <w:sz w:val="24"/>
              </w:rPr>
              <w:t>，</w:t>
            </w:r>
            <w:r>
              <w:rPr>
                <w:color w:val="000000"/>
                <w:kern w:val="0"/>
                <w:sz w:val="24"/>
              </w:rPr>
              <w:t>VGA</w:t>
            </w:r>
            <w:r>
              <w:rPr>
                <w:rFonts w:hint="eastAsia"/>
                <w:color w:val="000000"/>
                <w:kern w:val="0"/>
                <w:sz w:val="24"/>
              </w:rPr>
              <w:t>，</w:t>
            </w:r>
            <w:r>
              <w:rPr>
                <w:color w:val="000000"/>
                <w:kern w:val="0"/>
                <w:sz w:val="24"/>
              </w:rPr>
              <w:t>DP</w:t>
            </w:r>
            <w:r>
              <w:rPr>
                <w:rFonts w:hint="eastAsia"/>
                <w:color w:val="000000"/>
                <w:kern w:val="0"/>
                <w:sz w:val="24"/>
              </w:rPr>
              <w:t>，</w:t>
            </w:r>
            <w:r>
              <w:rPr>
                <w:color w:val="000000"/>
                <w:kern w:val="0"/>
                <w:sz w:val="24"/>
              </w:rPr>
              <w:t>2*PS2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top"/>
          </w:tcPr>
          <w:p>
            <w:pPr>
              <w:rPr>
                <w:sz w:val="24"/>
              </w:rPr>
            </w:pPr>
            <w:r>
              <w:rPr>
                <w:rFonts w:hint="eastAsia"/>
                <w:sz w:val="24"/>
              </w:rPr>
              <w:t>扩展插槽</w:t>
            </w:r>
          </w:p>
        </w:tc>
        <w:tc>
          <w:tcPr>
            <w:tcW w:w="7553" w:type="dxa"/>
            <w:noWrap w:val="0"/>
            <w:vAlign w:val="top"/>
          </w:tcPr>
          <w:p>
            <w:pPr>
              <w:rPr>
                <w:sz w:val="24"/>
              </w:rPr>
            </w:pPr>
            <w:r>
              <w:rPr>
                <w:sz w:val="24"/>
              </w:rPr>
              <w:t>PCI-E</w:t>
            </w:r>
            <w:r>
              <w:rPr>
                <w:rFonts w:hAnsi="宋体"/>
                <w:sz w:val="24"/>
              </w:rPr>
              <w:t>插槽</w:t>
            </w:r>
            <w:r>
              <w:rPr>
                <w:rFonts w:hint="eastAsia" w:ascii="宋体" w:hAnsi="宋体" w:cs="Tahoma"/>
                <w:kern w:val="0"/>
                <w:sz w:val="24"/>
              </w:rPr>
              <w:t>≥</w:t>
            </w:r>
            <w:r>
              <w:rPr>
                <w:sz w:val="24"/>
              </w:rPr>
              <w:t>3</w:t>
            </w:r>
            <w:r>
              <w:rPr>
                <w:rFonts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top"/>
          </w:tcPr>
          <w:p>
            <w:pPr>
              <w:rPr>
                <w:sz w:val="24"/>
              </w:rPr>
            </w:pPr>
            <w:r>
              <w:rPr>
                <w:rFonts w:hint="eastAsia"/>
                <w:sz w:val="24"/>
              </w:rPr>
              <w:t>显示器</w:t>
            </w:r>
          </w:p>
        </w:tc>
        <w:tc>
          <w:tcPr>
            <w:tcW w:w="7553" w:type="dxa"/>
            <w:noWrap w:val="0"/>
            <w:vAlign w:val="top"/>
          </w:tcPr>
          <w:p>
            <w:pPr>
              <w:rPr>
                <w:rFonts w:hint="eastAsia"/>
                <w:sz w:val="24"/>
              </w:rPr>
            </w:pPr>
            <w:r>
              <w:rPr>
                <w:rFonts w:hAnsi="宋体"/>
                <w:sz w:val="24"/>
              </w:rPr>
              <w:t>屏幕尺寸</w:t>
            </w:r>
            <w:r>
              <w:rPr>
                <w:rFonts w:hint="eastAsia" w:ascii="宋体" w:hAnsi="宋体" w:cs="Tahoma"/>
                <w:kern w:val="0"/>
                <w:sz w:val="24"/>
              </w:rPr>
              <w:t>≥</w:t>
            </w:r>
            <w:r>
              <w:rPr>
                <w:sz w:val="24"/>
              </w:rPr>
              <w:t>21.5</w:t>
            </w:r>
            <w:r>
              <w:rPr>
                <w:rFonts w:hAnsi="宋体"/>
                <w:sz w:val="24"/>
              </w:rPr>
              <w:t>英寸</w:t>
            </w:r>
            <w:r>
              <w:rPr>
                <w:rFonts w:hint="eastAsia" w:hAnsi="宋体"/>
                <w:sz w:val="24"/>
              </w:rPr>
              <w:t>，</w:t>
            </w:r>
            <w:r>
              <w:rPr>
                <w:rFonts w:hAnsi="宋体"/>
                <w:sz w:val="24"/>
              </w:rPr>
              <w:t>屏幕分辨率</w:t>
            </w:r>
            <w:r>
              <w:rPr>
                <w:rFonts w:hint="eastAsia" w:ascii="宋体" w:hAnsi="宋体" w:cs="Tahoma"/>
                <w:kern w:val="0"/>
                <w:sz w:val="24"/>
              </w:rPr>
              <w:t>≥</w:t>
            </w:r>
            <w:r>
              <w:rPr>
                <w:sz w:val="24"/>
              </w:rPr>
              <w:t>1920*1080</w:t>
            </w:r>
            <w:r>
              <w:rPr>
                <w:rFonts w:hint="eastAsia"/>
                <w:sz w:val="24"/>
              </w:rPr>
              <w:t>。</w:t>
            </w:r>
          </w:p>
          <w:p>
            <w:pPr>
              <w:rPr>
                <w:sz w:val="24"/>
              </w:rPr>
            </w:pPr>
            <w:r>
              <w:rPr>
                <w:rFonts w:hAnsi="宋体"/>
                <w:sz w:val="24"/>
              </w:rPr>
              <w:t>低蓝光护眼</w:t>
            </w:r>
            <w:r>
              <w:rPr>
                <w:rFonts w:hint="eastAsia" w:hAnsi="宋体"/>
                <w:sz w:val="24"/>
              </w:rPr>
              <w:t>，</w:t>
            </w:r>
            <w:r>
              <w:rPr>
                <w:rFonts w:hAnsi="宋体"/>
                <w:sz w:val="24"/>
              </w:rPr>
              <w:t>响应时间</w:t>
            </w:r>
            <w:r>
              <w:rPr>
                <w:rFonts w:hint="eastAsia" w:hAnsi="宋体"/>
                <w:sz w:val="24"/>
              </w:rPr>
              <w:t>≤2</w:t>
            </w:r>
            <w:r>
              <w:rPr>
                <w:rFonts w:hint="eastAsia"/>
                <w:sz w:val="24"/>
              </w:rPr>
              <w:t>m</w:t>
            </w:r>
            <w:r>
              <w:rPr>
                <w:sz w:val="24"/>
              </w:rPr>
              <w:t>s,</w:t>
            </w:r>
            <w:r>
              <w:rPr>
                <w:rFonts w:hAnsi="宋体"/>
                <w:sz w:val="24"/>
              </w:rPr>
              <w:t>与主机同品牌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操作系统</w:t>
            </w:r>
          </w:p>
        </w:tc>
        <w:tc>
          <w:tcPr>
            <w:tcW w:w="7553" w:type="dxa"/>
            <w:noWrap w:val="0"/>
            <w:vAlign w:val="center"/>
          </w:tcPr>
          <w:p>
            <w:pPr>
              <w:widowControl/>
              <w:rPr>
                <w:kern w:val="0"/>
                <w:sz w:val="24"/>
              </w:rPr>
            </w:pPr>
            <w:r>
              <w:rPr>
                <w:rFonts w:hAnsi="宋体"/>
                <w:kern w:val="0"/>
                <w:sz w:val="24"/>
              </w:rPr>
              <w:t>正版</w:t>
            </w:r>
            <w:r>
              <w:rPr>
                <w:kern w:val="0"/>
                <w:sz w:val="24"/>
              </w:rPr>
              <w:t>Windows</w:t>
            </w:r>
            <w:r>
              <w:rPr>
                <w:rFonts w:hAnsi="宋体"/>
                <w:kern w:val="0"/>
                <w:sz w:val="24"/>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键鼠</w:t>
            </w:r>
          </w:p>
        </w:tc>
        <w:tc>
          <w:tcPr>
            <w:tcW w:w="7553" w:type="dxa"/>
            <w:noWrap w:val="0"/>
            <w:vAlign w:val="center"/>
          </w:tcPr>
          <w:p>
            <w:pPr>
              <w:widowControl/>
              <w:rPr>
                <w:kern w:val="0"/>
                <w:sz w:val="24"/>
              </w:rPr>
            </w:pPr>
            <w:r>
              <w:rPr>
                <w:rFonts w:hAnsi="宋体"/>
                <w:kern w:val="0"/>
                <w:sz w:val="24"/>
              </w:rPr>
              <w:t>与主机同品牌；</w:t>
            </w:r>
            <w:r>
              <w:rPr>
                <w:kern w:val="0"/>
                <w:sz w:val="24"/>
              </w:rPr>
              <w:t>USB</w:t>
            </w:r>
            <w:r>
              <w:rPr>
                <w:rFonts w:hAnsi="宋体"/>
                <w:kern w:val="0"/>
                <w:sz w:val="24"/>
              </w:rPr>
              <w:t>接口防水抗菌键盘、鼠标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rPr>
                <w:color w:val="000000"/>
                <w:sz w:val="24"/>
              </w:rPr>
            </w:pPr>
            <w:r>
              <w:rPr>
                <w:rFonts w:hint="eastAsia" w:hAnsi="宋体"/>
                <w:color w:val="000000"/>
                <w:sz w:val="24"/>
              </w:rPr>
              <w:t>服务</w:t>
            </w:r>
          </w:p>
        </w:tc>
        <w:tc>
          <w:tcPr>
            <w:tcW w:w="7553" w:type="dxa"/>
            <w:noWrap w:val="0"/>
            <w:vAlign w:val="center"/>
          </w:tcPr>
          <w:p>
            <w:pPr>
              <w:rPr>
                <w:color w:val="000000"/>
                <w:sz w:val="24"/>
              </w:rPr>
            </w:pPr>
            <w:r>
              <w:rPr>
                <w:rFonts w:hAnsi="宋体"/>
                <w:color w:val="000000"/>
                <w:sz w:val="24"/>
              </w:rPr>
              <w:t>原厂保修</w:t>
            </w:r>
            <w:r>
              <w:rPr>
                <w:rFonts w:hint="eastAsia" w:ascii="宋体" w:hAnsi="宋体" w:cs="Tahoma"/>
                <w:kern w:val="0"/>
                <w:sz w:val="24"/>
              </w:rPr>
              <w:t>≥</w:t>
            </w:r>
            <w:r>
              <w:rPr>
                <w:color w:val="000000"/>
                <w:sz w:val="24"/>
              </w:rPr>
              <w:t>5</w:t>
            </w:r>
            <w:r>
              <w:rPr>
                <w:rFonts w:hAnsi="宋体"/>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机型</w:t>
            </w:r>
          </w:p>
        </w:tc>
        <w:tc>
          <w:tcPr>
            <w:tcW w:w="7553" w:type="dxa"/>
            <w:noWrap w:val="0"/>
            <w:vAlign w:val="top"/>
          </w:tcPr>
          <w:p>
            <w:pPr>
              <w:widowControl/>
              <w:rPr>
                <w:kern w:val="0"/>
                <w:sz w:val="24"/>
              </w:rPr>
            </w:pPr>
            <w:r>
              <w:rPr>
                <w:rFonts w:hAnsi="宋体"/>
                <w:kern w:val="0"/>
                <w:sz w:val="24"/>
              </w:rPr>
              <w:t>国际知名品牌，商用台式计算机</w:t>
            </w:r>
          </w:p>
        </w:tc>
      </w:tr>
    </w:tbl>
    <w:p>
      <w:pPr>
        <w:pStyle w:val="2"/>
        <w:ind w:left="0" w:leftChars="0" w:firstLine="480" w:firstLineChars="200"/>
        <w:rPr>
          <w:rFonts w:hint="eastAsia" w:ascii="宋体" w:hAnsi="宋体" w:cs="Tahoma"/>
          <w:kern w:val="0"/>
          <w:sz w:val="24"/>
        </w:rPr>
      </w:pPr>
    </w:p>
    <w:p>
      <w:pPr>
        <w:pStyle w:val="2"/>
        <w:spacing w:before="156" w:beforeLines="50"/>
        <w:ind w:left="0" w:leftChars="0" w:firstLine="361" w:firstLineChars="150"/>
        <w:jc w:val="left"/>
        <w:rPr>
          <w:rFonts w:hint="eastAsia" w:ascii="宋体" w:hAnsi="宋体" w:cs="Tahoma"/>
          <w:b/>
          <w:kern w:val="0"/>
          <w:sz w:val="24"/>
        </w:rPr>
      </w:pPr>
      <w:r>
        <w:rPr>
          <w:rFonts w:hint="eastAsia" w:ascii="宋体" w:hAnsi="宋体" w:cs="Tahoma"/>
          <w:b/>
          <w:kern w:val="0"/>
          <w:sz w:val="24"/>
        </w:rPr>
        <w:t>（二）办公用机</w:t>
      </w:r>
    </w:p>
    <w:tbl>
      <w:tblPr>
        <w:tblStyle w:val="16"/>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877" w:type="dxa"/>
            <w:noWrap w:val="0"/>
            <w:vAlign w:val="center"/>
          </w:tcPr>
          <w:p>
            <w:pPr>
              <w:widowControl/>
              <w:rPr>
                <w:rFonts w:ascii="宋体" w:hAnsi="宋体" w:cs="宋体"/>
                <w:kern w:val="0"/>
                <w:sz w:val="24"/>
              </w:rPr>
            </w:pPr>
            <w:r>
              <w:rPr>
                <w:rFonts w:ascii="宋体" w:hAnsi="宋体" w:cs="宋体"/>
                <w:kern w:val="0"/>
                <w:sz w:val="24"/>
              </w:rPr>
              <w:t>CPU</w:t>
            </w:r>
          </w:p>
        </w:tc>
        <w:tc>
          <w:tcPr>
            <w:tcW w:w="7553" w:type="dxa"/>
            <w:noWrap w:val="0"/>
            <w:vAlign w:val="top"/>
          </w:tcPr>
          <w:p>
            <w:pPr>
              <w:widowControl/>
              <w:numPr>
                <w:ilvl w:val="0"/>
                <w:numId w:val="3"/>
              </w:numPr>
              <w:rPr>
                <w:kern w:val="0"/>
                <w:sz w:val="24"/>
              </w:rPr>
            </w:pPr>
            <w:r>
              <w:rPr>
                <w:rFonts w:hint="eastAsia" w:hAnsi="宋体"/>
                <w:kern w:val="0"/>
                <w:sz w:val="24"/>
              </w:rPr>
              <w:t>Inte core i5-</w:t>
            </w:r>
            <w:r>
              <w:rPr>
                <w:kern w:val="0"/>
                <w:sz w:val="24"/>
              </w:rPr>
              <w:t>10500</w:t>
            </w:r>
            <w:r>
              <w:rPr>
                <w:rFonts w:hint="eastAsia" w:hAnsi="宋体"/>
                <w:kern w:val="0"/>
                <w:sz w:val="24"/>
              </w:rPr>
              <w:t xml:space="preserve"> 以上处理器，</w:t>
            </w:r>
            <w:r>
              <w:rPr>
                <w:kern w:val="0"/>
                <w:sz w:val="24"/>
              </w:rPr>
              <w:t>6</w:t>
            </w:r>
            <w:r>
              <w:rPr>
                <w:rFonts w:hAnsi="宋体"/>
                <w:kern w:val="0"/>
                <w:sz w:val="24"/>
              </w:rPr>
              <w:t>核</w:t>
            </w:r>
            <w:r>
              <w:rPr>
                <w:kern w:val="0"/>
                <w:sz w:val="24"/>
              </w:rPr>
              <w:t>12</w:t>
            </w:r>
            <w:r>
              <w:rPr>
                <w:rFonts w:hAnsi="宋体"/>
                <w:kern w:val="0"/>
                <w:sz w:val="24"/>
              </w:rPr>
              <w:t>线程，基准主频</w:t>
            </w:r>
            <w:r>
              <w:rPr>
                <w:rFonts w:hint="eastAsia" w:ascii="宋体" w:hAnsi="宋体" w:cs="Tahoma"/>
                <w:kern w:val="0"/>
                <w:sz w:val="24"/>
              </w:rPr>
              <w:t>≥</w:t>
            </w:r>
            <w:r>
              <w:rPr>
                <w:kern w:val="0"/>
                <w:sz w:val="24"/>
              </w:rPr>
              <w:t>3.</w:t>
            </w:r>
            <w:r>
              <w:rPr>
                <w:rFonts w:hint="eastAsia"/>
                <w:kern w:val="0"/>
                <w:sz w:val="24"/>
              </w:rPr>
              <w:t>1</w:t>
            </w:r>
            <w:r>
              <w:rPr>
                <w:kern w:val="0"/>
                <w:sz w:val="24"/>
              </w:rPr>
              <w:t>G</w:t>
            </w:r>
            <w:r>
              <w:rPr>
                <w:rFonts w:hAnsi="宋体"/>
                <w:kern w:val="0"/>
                <w:sz w:val="24"/>
              </w:rPr>
              <w:t>，三级缓存</w:t>
            </w:r>
            <w:r>
              <w:rPr>
                <w:rFonts w:hint="eastAsia" w:ascii="宋体" w:hAnsi="宋体" w:cs="Tahoma"/>
                <w:kern w:val="0"/>
                <w:sz w:val="24"/>
              </w:rPr>
              <w:t>≥</w:t>
            </w:r>
            <w:r>
              <w:rPr>
                <w:kern w:val="0"/>
                <w:sz w:val="24"/>
              </w:rPr>
              <w:t>12M</w:t>
            </w:r>
            <w:r>
              <w:rPr>
                <w:rFonts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color w:val="FF0000"/>
                <w:kern w:val="0"/>
                <w:sz w:val="24"/>
              </w:rPr>
            </w:pPr>
            <w:r>
              <w:rPr>
                <w:rFonts w:hint="eastAsia" w:ascii="宋体" w:hAnsi="宋体" w:cs="宋体"/>
                <w:kern w:val="0"/>
                <w:sz w:val="24"/>
              </w:rPr>
              <w:t>芯片组</w:t>
            </w:r>
          </w:p>
        </w:tc>
        <w:tc>
          <w:tcPr>
            <w:tcW w:w="7553" w:type="dxa"/>
            <w:noWrap w:val="0"/>
            <w:vAlign w:val="top"/>
          </w:tcPr>
          <w:p>
            <w:pPr>
              <w:widowControl/>
              <w:rPr>
                <w:kern w:val="0"/>
                <w:sz w:val="24"/>
              </w:rPr>
            </w:pPr>
            <w:r>
              <w:rPr>
                <w:rFonts w:hAnsi="宋体"/>
                <w:kern w:val="0"/>
                <w:sz w:val="24"/>
              </w:rPr>
              <w:t>★</w:t>
            </w:r>
            <w:r>
              <w:rPr>
                <w:kern w:val="0"/>
                <w:sz w:val="24"/>
              </w:rPr>
              <w:t>460</w:t>
            </w:r>
            <w:r>
              <w:rPr>
                <w:rFonts w:hAnsi="宋体"/>
                <w:kern w:val="0"/>
                <w:sz w:val="24"/>
              </w:rPr>
              <w:t>系</w:t>
            </w:r>
            <w:r>
              <w:rPr>
                <w:rFonts w:hint="eastAsia" w:hAnsi="宋体"/>
                <w:kern w:val="0"/>
                <w:sz w:val="24"/>
              </w:rPr>
              <w:t>列以上芯片组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硬盘</w:t>
            </w:r>
          </w:p>
        </w:tc>
        <w:tc>
          <w:tcPr>
            <w:tcW w:w="7553" w:type="dxa"/>
            <w:noWrap w:val="0"/>
            <w:vAlign w:val="top"/>
          </w:tcPr>
          <w:p>
            <w:pPr>
              <w:widowControl/>
              <w:numPr>
                <w:ilvl w:val="0"/>
                <w:numId w:val="3"/>
              </w:numPr>
              <w:rPr>
                <w:kern w:val="0"/>
                <w:sz w:val="24"/>
              </w:rPr>
            </w:pPr>
            <w:r>
              <w:rPr>
                <w:kern w:val="0"/>
                <w:sz w:val="24"/>
              </w:rPr>
              <w:t xml:space="preserve">SSD </w:t>
            </w:r>
            <w:r>
              <w:rPr>
                <w:rFonts w:hint="eastAsia" w:ascii="宋体" w:hAnsi="宋体" w:cs="Tahoma"/>
                <w:kern w:val="0"/>
                <w:sz w:val="24"/>
              </w:rPr>
              <w:t>≥</w:t>
            </w:r>
            <w:r>
              <w:rPr>
                <w:kern w:val="0"/>
                <w:sz w:val="24"/>
              </w:rPr>
              <w:t>128G NVMe</w:t>
            </w:r>
            <w:r>
              <w:rPr>
                <w:rFonts w:hint="eastAsia"/>
                <w:kern w:val="0"/>
                <w:sz w:val="24"/>
              </w:rPr>
              <w:t>。</w:t>
            </w:r>
            <w:r>
              <w:rPr>
                <w:kern w:val="0"/>
                <w:sz w:val="24"/>
              </w:rPr>
              <w:t xml:space="preserve">HDD SATA </w:t>
            </w:r>
            <w:r>
              <w:rPr>
                <w:rFonts w:hint="eastAsia" w:ascii="宋体" w:hAnsi="宋体" w:cs="Tahoma"/>
                <w:kern w:val="0"/>
                <w:sz w:val="24"/>
              </w:rPr>
              <w:t>≥</w:t>
            </w:r>
            <w:r>
              <w:rPr>
                <w:kern w:val="0"/>
                <w:sz w:val="24"/>
              </w:rPr>
              <w:t>1T/7200</w:t>
            </w:r>
            <w:r>
              <w:rPr>
                <w:rFonts w:hAnsi="宋体"/>
                <w:kern w:val="0"/>
                <w:sz w:val="24"/>
              </w:rPr>
              <w:t>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内存</w:t>
            </w:r>
          </w:p>
        </w:tc>
        <w:tc>
          <w:tcPr>
            <w:tcW w:w="7553" w:type="dxa"/>
            <w:noWrap w:val="0"/>
            <w:vAlign w:val="top"/>
          </w:tcPr>
          <w:p>
            <w:pPr>
              <w:widowControl/>
              <w:rPr>
                <w:kern w:val="0"/>
                <w:sz w:val="24"/>
              </w:rPr>
            </w:pPr>
            <w:r>
              <w:rPr>
                <w:rFonts w:hAnsi="宋体"/>
                <w:kern w:val="0"/>
                <w:sz w:val="24"/>
              </w:rPr>
              <w:t>★</w:t>
            </w:r>
            <w:r>
              <w:rPr>
                <w:rFonts w:hint="eastAsia" w:ascii="宋体" w:hAnsi="宋体" w:cs="Tahoma"/>
                <w:kern w:val="0"/>
                <w:sz w:val="24"/>
              </w:rPr>
              <w:t>≥</w:t>
            </w:r>
            <w:r>
              <w:rPr>
                <w:kern w:val="0"/>
                <w:sz w:val="24"/>
              </w:rPr>
              <w:t>8G DDR4 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显卡</w:t>
            </w:r>
          </w:p>
        </w:tc>
        <w:tc>
          <w:tcPr>
            <w:tcW w:w="7553" w:type="dxa"/>
            <w:noWrap w:val="0"/>
            <w:vAlign w:val="top"/>
          </w:tcPr>
          <w:p>
            <w:pPr>
              <w:widowControl/>
              <w:rPr>
                <w:kern w:val="0"/>
                <w:sz w:val="24"/>
              </w:rPr>
            </w:pPr>
            <w:r>
              <w:rPr>
                <w:rFonts w:hAnsi="宋体"/>
                <w:kern w:val="0"/>
                <w:sz w:val="24"/>
              </w:rPr>
              <w:t>集成显卡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声卡</w:t>
            </w:r>
          </w:p>
        </w:tc>
        <w:tc>
          <w:tcPr>
            <w:tcW w:w="7553" w:type="dxa"/>
            <w:noWrap w:val="0"/>
            <w:vAlign w:val="top"/>
          </w:tcPr>
          <w:p>
            <w:pPr>
              <w:widowControl/>
              <w:rPr>
                <w:kern w:val="0"/>
                <w:sz w:val="24"/>
              </w:rPr>
            </w:pPr>
            <w:r>
              <w:rPr>
                <w:rFonts w:hAnsi="宋体"/>
                <w:kern w:val="0"/>
                <w:sz w:val="24"/>
              </w:rPr>
              <w:t>集成声卡</w:t>
            </w:r>
            <w:r>
              <w:rPr>
                <w:kern w:val="0"/>
                <w:sz w:val="24"/>
              </w:rPr>
              <w:t>,5.1</w:t>
            </w:r>
            <w:r>
              <w:rPr>
                <w:rFonts w:hAnsi="宋体"/>
                <w:kern w:val="0"/>
                <w:sz w:val="24"/>
              </w:rPr>
              <w:t>声道</w:t>
            </w:r>
            <w:r>
              <w:rPr>
                <w:rFonts w:hint="eastAsia" w:hAnsi="宋体"/>
                <w:kern w:val="0"/>
                <w:sz w:val="24"/>
              </w:rPr>
              <w:t>，</w:t>
            </w:r>
            <w:r>
              <w:rPr>
                <w:rFonts w:hAnsi="宋体"/>
                <w:kern w:val="0"/>
                <w:sz w:val="24"/>
              </w:rPr>
              <w:t>前置音频接口</w:t>
            </w:r>
            <w:r>
              <w:rPr>
                <w:rFonts w:hint="eastAsia" w:ascii="宋体" w:hAnsi="宋体" w:cs="Tahoma"/>
                <w:kern w:val="0"/>
                <w:sz w:val="24"/>
              </w:rPr>
              <w:t>≥</w:t>
            </w:r>
            <w:r>
              <w:rPr>
                <w:kern w:val="0"/>
                <w:sz w:val="24"/>
              </w:rPr>
              <w:t>2</w:t>
            </w:r>
            <w:r>
              <w:rPr>
                <w:rFonts w:hAnsi="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网卡</w:t>
            </w:r>
          </w:p>
        </w:tc>
        <w:tc>
          <w:tcPr>
            <w:tcW w:w="7553" w:type="dxa"/>
            <w:noWrap w:val="0"/>
            <w:vAlign w:val="top"/>
          </w:tcPr>
          <w:p>
            <w:pPr>
              <w:widowControl/>
              <w:ind w:firstLine="120" w:firstLineChars="50"/>
              <w:rPr>
                <w:kern w:val="0"/>
                <w:sz w:val="24"/>
              </w:rPr>
            </w:pPr>
            <w:r>
              <w:rPr>
                <w:kern w:val="0"/>
                <w:sz w:val="24"/>
              </w:rPr>
              <w:t>10/100/1000M</w:t>
            </w:r>
            <w:r>
              <w:rPr>
                <w:rFonts w:hAnsi="宋体"/>
                <w:kern w:val="0"/>
                <w:sz w:val="24"/>
              </w:rPr>
              <w:t>自适应</w:t>
            </w:r>
            <w:r>
              <w:rPr>
                <w:rFonts w:hint="eastAsia" w:hAnsi="宋体"/>
                <w:kern w:val="0"/>
                <w:sz w:val="24"/>
              </w:rPr>
              <w:t>，</w:t>
            </w:r>
            <w:r>
              <w:rPr>
                <w:kern w:val="0"/>
                <w:sz w:val="24"/>
              </w:rPr>
              <w:t>RJ45</w:t>
            </w:r>
            <w:r>
              <w:rPr>
                <w:rFonts w:hAnsi="宋体"/>
                <w:kern w:val="0"/>
                <w:sz w:val="24"/>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接口</w:t>
            </w:r>
          </w:p>
        </w:tc>
        <w:tc>
          <w:tcPr>
            <w:tcW w:w="7553" w:type="dxa"/>
            <w:noWrap w:val="0"/>
            <w:vAlign w:val="top"/>
          </w:tcPr>
          <w:p>
            <w:pPr>
              <w:widowControl/>
              <w:rPr>
                <w:kern w:val="0"/>
                <w:sz w:val="24"/>
              </w:rPr>
            </w:pPr>
            <w:r>
              <w:rPr>
                <w:color w:val="000000"/>
                <w:kern w:val="0"/>
                <w:sz w:val="24"/>
              </w:rPr>
              <w:t>USB3.1</w:t>
            </w:r>
            <w:r>
              <w:rPr>
                <w:rFonts w:hAnsi="宋体"/>
                <w:color w:val="000000"/>
                <w:kern w:val="0"/>
                <w:sz w:val="24"/>
              </w:rPr>
              <w:t>接口</w:t>
            </w:r>
            <w:r>
              <w:rPr>
                <w:rFonts w:hint="eastAsia" w:ascii="宋体" w:hAnsi="宋体" w:cs="Tahoma"/>
                <w:kern w:val="0"/>
                <w:sz w:val="24"/>
              </w:rPr>
              <w:t>≥</w:t>
            </w:r>
            <w:r>
              <w:rPr>
                <w:color w:val="000000"/>
                <w:kern w:val="0"/>
                <w:sz w:val="24"/>
              </w:rPr>
              <w:t>6</w:t>
            </w:r>
            <w:r>
              <w:rPr>
                <w:rFonts w:hAnsi="宋体"/>
                <w:color w:val="000000"/>
                <w:kern w:val="0"/>
                <w:sz w:val="24"/>
              </w:rPr>
              <w:t>个</w:t>
            </w:r>
            <w:r>
              <w:rPr>
                <w:color w:val="000000"/>
                <w:kern w:val="0"/>
                <w:sz w:val="24"/>
              </w:rPr>
              <w:t>(</w:t>
            </w:r>
            <w:r>
              <w:rPr>
                <w:rFonts w:hAnsi="宋体"/>
                <w:color w:val="000000"/>
                <w:kern w:val="0"/>
                <w:sz w:val="24"/>
              </w:rPr>
              <w:t>前置</w:t>
            </w:r>
            <w:r>
              <w:rPr>
                <w:color w:val="000000"/>
                <w:kern w:val="0"/>
                <w:sz w:val="24"/>
              </w:rPr>
              <w:t>USB 3.1</w:t>
            </w:r>
            <w:r>
              <w:rPr>
                <w:rFonts w:hAnsi="宋体"/>
                <w:color w:val="000000"/>
                <w:kern w:val="0"/>
                <w:sz w:val="24"/>
              </w:rPr>
              <w:t>接口</w:t>
            </w:r>
            <w:r>
              <w:rPr>
                <w:rFonts w:hint="eastAsia" w:ascii="宋体" w:hAnsi="宋体" w:cs="Tahoma"/>
                <w:kern w:val="0"/>
                <w:sz w:val="24"/>
              </w:rPr>
              <w:t>≥</w:t>
            </w:r>
            <w:r>
              <w:rPr>
                <w:color w:val="000000"/>
                <w:kern w:val="0"/>
                <w:sz w:val="24"/>
              </w:rPr>
              <w:t>4</w:t>
            </w:r>
            <w:r>
              <w:rPr>
                <w:rFonts w:hAnsi="宋体"/>
                <w:color w:val="000000"/>
                <w:kern w:val="0"/>
                <w:sz w:val="24"/>
              </w:rPr>
              <w:t>个</w:t>
            </w:r>
            <w:r>
              <w:rPr>
                <w:color w:val="000000"/>
                <w:kern w:val="0"/>
                <w:sz w:val="24"/>
              </w:rPr>
              <w:t>)</w:t>
            </w:r>
            <w:r>
              <w:rPr>
                <w:rFonts w:hint="eastAsia"/>
                <w:color w:val="000000"/>
                <w:kern w:val="0"/>
                <w:sz w:val="24"/>
              </w:rPr>
              <w:t>，</w:t>
            </w:r>
            <w:r>
              <w:rPr>
                <w:color w:val="000000"/>
                <w:kern w:val="0"/>
                <w:sz w:val="24"/>
              </w:rPr>
              <w:t>HDMI</w:t>
            </w:r>
            <w:r>
              <w:rPr>
                <w:rFonts w:hint="eastAsia"/>
                <w:color w:val="000000"/>
                <w:kern w:val="0"/>
                <w:sz w:val="24"/>
              </w:rPr>
              <w:t>，</w:t>
            </w:r>
            <w:r>
              <w:rPr>
                <w:color w:val="000000"/>
                <w:kern w:val="0"/>
                <w:sz w:val="24"/>
              </w:rPr>
              <w:t>VGA</w:t>
            </w:r>
            <w:r>
              <w:rPr>
                <w:rFonts w:hint="eastAsia"/>
                <w:color w:val="000000"/>
                <w:kern w:val="0"/>
                <w:sz w:val="24"/>
              </w:rPr>
              <w:t>，</w:t>
            </w:r>
            <w:r>
              <w:rPr>
                <w:color w:val="000000"/>
                <w:kern w:val="0"/>
                <w:sz w:val="24"/>
              </w:rPr>
              <w:t>DP</w:t>
            </w:r>
            <w:r>
              <w:rPr>
                <w:rFonts w:hint="eastAsia"/>
                <w:color w:val="000000"/>
                <w:kern w:val="0"/>
                <w:sz w:val="24"/>
              </w:rPr>
              <w:t>，</w:t>
            </w:r>
            <w:r>
              <w:rPr>
                <w:color w:val="000000"/>
                <w:kern w:val="0"/>
                <w:sz w:val="24"/>
              </w:rPr>
              <w:t>2*PS2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top"/>
          </w:tcPr>
          <w:p>
            <w:pPr>
              <w:rPr>
                <w:sz w:val="24"/>
              </w:rPr>
            </w:pPr>
            <w:r>
              <w:rPr>
                <w:rFonts w:hint="eastAsia"/>
                <w:sz w:val="24"/>
              </w:rPr>
              <w:t>扩展插槽</w:t>
            </w:r>
          </w:p>
        </w:tc>
        <w:tc>
          <w:tcPr>
            <w:tcW w:w="7553" w:type="dxa"/>
            <w:noWrap w:val="0"/>
            <w:vAlign w:val="top"/>
          </w:tcPr>
          <w:p>
            <w:pPr>
              <w:rPr>
                <w:sz w:val="24"/>
              </w:rPr>
            </w:pPr>
            <w:r>
              <w:rPr>
                <w:sz w:val="24"/>
              </w:rPr>
              <w:t>PCI-E</w:t>
            </w:r>
            <w:r>
              <w:rPr>
                <w:rFonts w:hAnsi="宋体"/>
                <w:sz w:val="24"/>
              </w:rPr>
              <w:t>插槽</w:t>
            </w:r>
            <w:r>
              <w:rPr>
                <w:rFonts w:hint="eastAsia" w:ascii="宋体" w:hAnsi="宋体" w:cs="Tahoma"/>
                <w:kern w:val="0"/>
                <w:sz w:val="24"/>
              </w:rPr>
              <w:t>≥</w:t>
            </w:r>
            <w:r>
              <w:rPr>
                <w:sz w:val="24"/>
              </w:rPr>
              <w:t>3</w:t>
            </w:r>
            <w:r>
              <w:rPr>
                <w:rFonts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top"/>
          </w:tcPr>
          <w:p>
            <w:pPr>
              <w:rPr>
                <w:sz w:val="24"/>
              </w:rPr>
            </w:pPr>
            <w:r>
              <w:rPr>
                <w:rFonts w:hint="eastAsia"/>
                <w:sz w:val="24"/>
              </w:rPr>
              <w:t>显示器</w:t>
            </w:r>
          </w:p>
        </w:tc>
        <w:tc>
          <w:tcPr>
            <w:tcW w:w="7553" w:type="dxa"/>
            <w:noWrap w:val="0"/>
            <w:vAlign w:val="top"/>
          </w:tcPr>
          <w:p>
            <w:pPr>
              <w:rPr>
                <w:rFonts w:hint="eastAsia"/>
                <w:sz w:val="24"/>
              </w:rPr>
            </w:pPr>
            <w:r>
              <w:rPr>
                <w:rFonts w:hAnsi="宋体"/>
                <w:sz w:val="24"/>
              </w:rPr>
              <w:t>屏幕尺寸</w:t>
            </w:r>
            <w:r>
              <w:rPr>
                <w:rFonts w:hint="eastAsia" w:ascii="宋体" w:hAnsi="宋体" w:cs="Tahoma"/>
                <w:kern w:val="0"/>
                <w:sz w:val="24"/>
              </w:rPr>
              <w:t>≥</w:t>
            </w:r>
            <w:r>
              <w:rPr>
                <w:sz w:val="24"/>
              </w:rPr>
              <w:t>21.5</w:t>
            </w:r>
            <w:r>
              <w:rPr>
                <w:rFonts w:hAnsi="宋体"/>
                <w:sz w:val="24"/>
              </w:rPr>
              <w:t>英寸</w:t>
            </w:r>
            <w:r>
              <w:rPr>
                <w:rFonts w:hint="eastAsia" w:hAnsi="宋体"/>
                <w:sz w:val="24"/>
              </w:rPr>
              <w:t>，</w:t>
            </w:r>
            <w:r>
              <w:rPr>
                <w:rFonts w:hAnsi="宋体"/>
                <w:sz w:val="24"/>
              </w:rPr>
              <w:t>屏幕分辨率</w:t>
            </w:r>
            <w:r>
              <w:rPr>
                <w:rFonts w:hint="eastAsia" w:ascii="宋体" w:hAnsi="宋体" w:cs="Tahoma"/>
                <w:kern w:val="0"/>
                <w:sz w:val="24"/>
              </w:rPr>
              <w:t>≥</w:t>
            </w:r>
            <w:r>
              <w:rPr>
                <w:sz w:val="24"/>
              </w:rPr>
              <w:t>1920*1080</w:t>
            </w:r>
            <w:r>
              <w:rPr>
                <w:rFonts w:hint="eastAsia"/>
                <w:sz w:val="24"/>
              </w:rPr>
              <w:t>。</w:t>
            </w:r>
          </w:p>
          <w:p>
            <w:pPr>
              <w:rPr>
                <w:sz w:val="24"/>
              </w:rPr>
            </w:pPr>
            <w:r>
              <w:rPr>
                <w:rFonts w:hAnsi="宋体"/>
                <w:sz w:val="24"/>
              </w:rPr>
              <w:t>低蓝光护眼</w:t>
            </w:r>
            <w:r>
              <w:rPr>
                <w:rFonts w:hint="eastAsia" w:hAnsi="宋体"/>
                <w:sz w:val="24"/>
              </w:rPr>
              <w:t>，</w:t>
            </w:r>
            <w:r>
              <w:rPr>
                <w:rFonts w:hAnsi="宋体"/>
                <w:sz w:val="24"/>
              </w:rPr>
              <w:t>响应时间</w:t>
            </w:r>
            <w:r>
              <w:rPr>
                <w:rFonts w:hint="eastAsia" w:hAnsi="宋体"/>
                <w:sz w:val="24"/>
              </w:rPr>
              <w:t>≤2</w:t>
            </w:r>
            <w:r>
              <w:rPr>
                <w:rFonts w:hint="eastAsia"/>
                <w:sz w:val="24"/>
              </w:rPr>
              <w:t>m</w:t>
            </w:r>
            <w:r>
              <w:rPr>
                <w:sz w:val="24"/>
              </w:rPr>
              <w:t>s,</w:t>
            </w:r>
            <w:r>
              <w:rPr>
                <w:rFonts w:hAnsi="宋体"/>
                <w:sz w:val="24"/>
              </w:rPr>
              <w:t>与主机同品牌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color w:val="000000"/>
                <w:kern w:val="0"/>
                <w:sz w:val="24"/>
              </w:rPr>
              <w:t>机箱</w:t>
            </w:r>
          </w:p>
        </w:tc>
        <w:tc>
          <w:tcPr>
            <w:tcW w:w="7553" w:type="dxa"/>
            <w:noWrap w:val="0"/>
            <w:vAlign w:val="top"/>
          </w:tcPr>
          <w:p>
            <w:pPr>
              <w:widowControl/>
              <w:rPr>
                <w:kern w:val="0"/>
                <w:sz w:val="24"/>
              </w:rPr>
            </w:pPr>
            <w:r>
              <w:rPr>
                <w:rFonts w:hAnsi="宋体"/>
                <w:color w:val="000000"/>
                <w:kern w:val="0"/>
                <w:sz w:val="24"/>
              </w:rPr>
              <w:t>可立可卧机箱，</w:t>
            </w:r>
            <w:r>
              <w:rPr>
                <w:rFonts w:hAnsi="宋体"/>
                <w:color w:val="000000"/>
                <w:sz w:val="24"/>
              </w:rPr>
              <w:t>机箱容积</w:t>
            </w:r>
            <w:r>
              <w:rPr>
                <w:rFonts w:hint="eastAsia" w:hAnsi="宋体"/>
                <w:sz w:val="24"/>
              </w:rPr>
              <w:t>≤</w:t>
            </w:r>
            <w:r>
              <w:rPr>
                <w:kern w:val="0"/>
                <w:sz w:val="24"/>
              </w:rPr>
              <w:t>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操作系统</w:t>
            </w:r>
          </w:p>
        </w:tc>
        <w:tc>
          <w:tcPr>
            <w:tcW w:w="7553" w:type="dxa"/>
            <w:noWrap w:val="0"/>
            <w:vAlign w:val="center"/>
          </w:tcPr>
          <w:p>
            <w:pPr>
              <w:widowControl/>
              <w:rPr>
                <w:kern w:val="0"/>
                <w:sz w:val="24"/>
              </w:rPr>
            </w:pPr>
            <w:r>
              <w:rPr>
                <w:rFonts w:hAnsi="宋体"/>
                <w:kern w:val="0"/>
                <w:sz w:val="24"/>
              </w:rPr>
              <w:t>正版</w:t>
            </w:r>
            <w:r>
              <w:rPr>
                <w:kern w:val="0"/>
                <w:sz w:val="24"/>
              </w:rPr>
              <w:t>Windows</w:t>
            </w:r>
            <w:r>
              <w:rPr>
                <w:rFonts w:hAnsi="宋体"/>
                <w:kern w:val="0"/>
                <w:sz w:val="24"/>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键鼠</w:t>
            </w:r>
          </w:p>
        </w:tc>
        <w:tc>
          <w:tcPr>
            <w:tcW w:w="7553" w:type="dxa"/>
            <w:noWrap w:val="0"/>
            <w:vAlign w:val="center"/>
          </w:tcPr>
          <w:p>
            <w:pPr>
              <w:widowControl/>
              <w:rPr>
                <w:kern w:val="0"/>
                <w:sz w:val="24"/>
              </w:rPr>
            </w:pPr>
            <w:r>
              <w:rPr>
                <w:rFonts w:hAnsi="宋体"/>
                <w:kern w:val="0"/>
                <w:sz w:val="24"/>
              </w:rPr>
              <w:t>与主机同品牌；</w:t>
            </w:r>
            <w:r>
              <w:rPr>
                <w:kern w:val="0"/>
                <w:sz w:val="24"/>
              </w:rPr>
              <w:t>USB</w:t>
            </w:r>
            <w:r>
              <w:rPr>
                <w:rFonts w:hAnsi="宋体"/>
                <w:kern w:val="0"/>
                <w:sz w:val="24"/>
              </w:rPr>
              <w:t>接口防水抗菌键盘、鼠标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电源</w:t>
            </w:r>
          </w:p>
        </w:tc>
        <w:tc>
          <w:tcPr>
            <w:tcW w:w="7553" w:type="dxa"/>
            <w:noWrap w:val="0"/>
            <w:vAlign w:val="center"/>
          </w:tcPr>
          <w:p>
            <w:pPr>
              <w:widowControl/>
              <w:rPr>
                <w:kern w:val="0"/>
                <w:sz w:val="24"/>
              </w:rPr>
            </w:pPr>
            <w:r>
              <w:rPr>
                <w:rFonts w:hint="eastAsia" w:hAnsi="宋体"/>
                <w:sz w:val="24"/>
              </w:rPr>
              <w:t>≤</w:t>
            </w:r>
            <w:r>
              <w:rPr>
                <w:kern w:val="0"/>
                <w:sz w:val="24"/>
              </w:rPr>
              <w:t>3</w:t>
            </w:r>
            <w:r>
              <w:rPr>
                <w:rFonts w:hint="eastAsia"/>
                <w:kern w:val="0"/>
                <w:sz w:val="24"/>
              </w:rPr>
              <w:t>0</w:t>
            </w:r>
            <w:r>
              <w:rPr>
                <w:kern w:val="0"/>
                <w:sz w:val="24"/>
              </w:rPr>
              <w:t>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7" w:type="dxa"/>
            <w:noWrap w:val="0"/>
            <w:vAlign w:val="center"/>
          </w:tcPr>
          <w:p>
            <w:pPr>
              <w:rPr>
                <w:color w:val="000000"/>
                <w:sz w:val="24"/>
              </w:rPr>
            </w:pPr>
            <w:r>
              <w:rPr>
                <w:rFonts w:hint="eastAsia" w:hAnsi="宋体"/>
                <w:color w:val="000000"/>
                <w:sz w:val="24"/>
              </w:rPr>
              <w:t>服务</w:t>
            </w:r>
          </w:p>
        </w:tc>
        <w:tc>
          <w:tcPr>
            <w:tcW w:w="7553" w:type="dxa"/>
            <w:noWrap w:val="0"/>
            <w:vAlign w:val="center"/>
          </w:tcPr>
          <w:p>
            <w:pPr>
              <w:rPr>
                <w:color w:val="000000"/>
                <w:sz w:val="24"/>
              </w:rPr>
            </w:pPr>
            <w:r>
              <w:rPr>
                <w:rFonts w:hAnsi="宋体"/>
                <w:color w:val="000000"/>
                <w:sz w:val="24"/>
              </w:rPr>
              <w:t>原厂保修</w:t>
            </w:r>
            <w:r>
              <w:rPr>
                <w:rFonts w:hint="eastAsia" w:ascii="宋体" w:hAnsi="宋体" w:cs="Tahoma"/>
                <w:kern w:val="0"/>
                <w:sz w:val="24"/>
              </w:rPr>
              <w:t>≥</w:t>
            </w:r>
            <w:r>
              <w:rPr>
                <w:color w:val="000000"/>
                <w:sz w:val="24"/>
              </w:rPr>
              <w:t>5</w:t>
            </w:r>
            <w:r>
              <w:rPr>
                <w:rFonts w:hAnsi="宋体"/>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机型</w:t>
            </w:r>
          </w:p>
        </w:tc>
        <w:tc>
          <w:tcPr>
            <w:tcW w:w="7553" w:type="dxa"/>
            <w:noWrap w:val="0"/>
            <w:vAlign w:val="top"/>
          </w:tcPr>
          <w:p>
            <w:pPr>
              <w:widowControl/>
              <w:rPr>
                <w:kern w:val="0"/>
                <w:sz w:val="24"/>
              </w:rPr>
            </w:pPr>
            <w:r>
              <w:rPr>
                <w:rFonts w:hAnsi="宋体"/>
                <w:kern w:val="0"/>
                <w:sz w:val="24"/>
              </w:rPr>
              <w:t>国际知名品牌，商用台式计算机</w:t>
            </w:r>
          </w:p>
        </w:tc>
      </w:tr>
    </w:tbl>
    <w:p>
      <w:pPr>
        <w:spacing w:before="156" w:beforeLines="50" w:line="360" w:lineRule="auto"/>
        <w:ind w:firstLine="602" w:firstLineChars="250"/>
        <w:rPr>
          <w:rFonts w:hint="eastAsia" w:ascii="宋体" w:hAnsi="宋体"/>
          <w:sz w:val="24"/>
        </w:rPr>
      </w:pPr>
      <w:r>
        <w:rPr>
          <w:rFonts w:hint="eastAsia" w:ascii="宋体" w:hAnsi="宋体" w:cs="Tahoma"/>
          <w:b/>
          <w:kern w:val="0"/>
          <w:sz w:val="24"/>
        </w:rPr>
        <w:t>（二）多媒体更新用机</w:t>
      </w:r>
    </w:p>
    <w:tbl>
      <w:tblPr>
        <w:tblStyle w:val="16"/>
        <w:tblW w:w="9457" w:type="dxa"/>
        <w:jc w:val="center"/>
        <w:tblLayout w:type="fixed"/>
        <w:tblCellMar>
          <w:top w:w="0" w:type="dxa"/>
          <w:left w:w="108" w:type="dxa"/>
          <w:bottom w:w="0" w:type="dxa"/>
          <w:right w:w="108" w:type="dxa"/>
        </w:tblCellMar>
      </w:tblPr>
      <w:tblGrid>
        <w:gridCol w:w="1189"/>
        <w:gridCol w:w="8268"/>
      </w:tblGrid>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color w:val="000000"/>
              </w:rPr>
              <w:t>CPU</w:t>
            </w:r>
          </w:p>
        </w:tc>
        <w:tc>
          <w:tcPr>
            <w:tcW w:w="8268" w:type="dxa"/>
            <w:tcBorders>
              <w:top w:val="single" w:color="auto" w:sz="4" w:space="0"/>
              <w:left w:val="nil"/>
              <w:bottom w:val="single" w:color="auto" w:sz="4" w:space="0"/>
              <w:right w:val="single" w:color="auto" w:sz="4" w:space="0"/>
            </w:tcBorders>
            <w:noWrap w:val="0"/>
            <w:vAlign w:val="center"/>
          </w:tcPr>
          <w:p>
            <w:pPr>
              <w:numPr>
                <w:ilvl w:val="0"/>
                <w:numId w:val="3"/>
              </w:numPr>
              <w:rPr>
                <w:color w:val="000000"/>
              </w:rPr>
            </w:pPr>
            <w:r>
              <w:rPr>
                <w:rFonts w:hint="eastAsia" w:hAnsi="宋体"/>
                <w:kern w:val="0"/>
                <w:sz w:val="24"/>
              </w:rPr>
              <w:t>Inte core i5-</w:t>
            </w:r>
            <w:r>
              <w:rPr>
                <w:kern w:val="0"/>
                <w:sz w:val="24"/>
              </w:rPr>
              <w:t>10500</w:t>
            </w:r>
            <w:r>
              <w:rPr>
                <w:rFonts w:hint="eastAsia" w:hAnsi="宋体"/>
                <w:kern w:val="0"/>
                <w:sz w:val="24"/>
              </w:rPr>
              <w:t xml:space="preserve"> 以上处理器，</w:t>
            </w:r>
            <w:r>
              <w:rPr>
                <w:color w:val="000000"/>
              </w:rPr>
              <w:t>6</w:t>
            </w:r>
            <w:r>
              <w:rPr>
                <w:rFonts w:hAnsi="宋体"/>
                <w:color w:val="000000"/>
              </w:rPr>
              <w:t>核</w:t>
            </w:r>
            <w:r>
              <w:rPr>
                <w:color w:val="000000"/>
              </w:rPr>
              <w:t>12</w:t>
            </w:r>
            <w:r>
              <w:rPr>
                <w:rFonts w:hAnsi="宋体"/>
                <w:color w:val="000000"/>
              </w:rPr>
              <w:t>线程，基准主频</w:t>
            </w:r>
            <w:r>
              <w:rPr>
                <w:rFonts w:hint="eastAsia" w:ascii="宋体" w:hAnsi="宋体" w:cs="Tahoma"/>
                <w:kern w:val="0"/>
                <w:sz w:val="24"/>
              </w:rPr>
              <w:t>≥</w:t>
            </w:r>
            <w:r>
              <w:rPr>
                <w:color w:val="000000"/>
              </w:rPr>
              <w:t>3.</w:t>
            </w:r>
            <w:r>
              <w:rPr>
                <w:rFonts w:hint="eastAsia"/>
                <w:color w:val="000000"/>
              </w:rPr>
              <w:t>0</w:t>
            </w:r>
            <w:r>
              <w:rPr>
                <w:color w:val="000000"/>
              </w:rPr>
              <w:t>G</w:t>
            </w:r>
            <w:r>
              <w:rPr>
                <w:rFonts w:hAnsi="宋体"/>
                <w:color w:val="000000"/>
              </w:rPr>
              <w:t>，三级缓存</w:t>
            </w:r>
            <w:r>
              <w:rPr>
                <w:rFonts w:hint="eastAsia" w:ascii="宋体" w:hAnsi="宋体" w:cs="Tahoma"/>
                <w:kern w:val="0"/>
                <w:sz w:val="24"/>
              </w:rPr>
              <w:t>≥</w:t>
            </w:r>
            <w:r>
              <w:rPr>
                <w:color w:val="000000"/>
              </w:rPr>
              <w:t>12M</w:t>
            </w:r>
            <w:r>
              <w:rPr>
                <w:rFonts w:hAnsi="宋体"/>
                <w:color w:val="000000"/>
              </w:rPr>
              <w:t>）</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芯片组</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w:t>
            </w:r>
            <w:r>
              <w:rPr>
                <w:rFonts w:hint="eastAsia"/>
                <w:kern w:val="0"/>
                <w:sz w:val="24"/>
              </w:rPr>
              <w:t>460</w:t>
            </w:r>
            <w:r>
              <w:rPr>
                <w:rFonts w:hAnsi="宋体"/>
                <w:kern w:val="0"/>
                <w:sz w:val="24"/>
              </w:rPr>
              <w:t>系</w:t>
            </w:r>
            <w:r>
              <w:rPr>
                <w:rFonts w:hint="eastAsia" w:hAnsi="宋体"/>
                <w:kern w:val="0"/>
                <w:sz w:val="24"/>
              </w:rPr>
              <w:t>列</w:t>
            </w:r>
            <w:r>
              <w:rPr>
                <w:rFonts w:hint="eastAsia"/>
                <w:kern w:val="0"/>
                <w:sz w:val="24"/>
              </w:rPr>
              <w:t>以上芯片组</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硬盘</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kern w:val="0"/>
                <w:sz w:val="24"/>
              </w:rPr>
              <w:t xml:space="preserve">HDD SATA </w:t>
            </w:r>
            <w:r>
              <w:rPr>
                <w:rFonts w:hint="eastAsia" w:ascii="宋体" w:hAnsi="宋体" w:cs="Tahoma"/>
                <w:kern w:val="0"/>
                <w:sz w:val="24"/>
              </w:rPr>
              <w:t>≥</w:t>
            </w:r>
            <w:r>
              <w:rPr>
                <w:kern w:val="0"/>
                <w:sz w:val="24"/>
              </w:rPr>
              <w:t>1T/7200</w:t>
            </w:r>
            <w:r>
              <w:rPr>
                <w:rFonts w:hAnsi="宋体"/>
                <w:kern w:val="0"/>
                <w:sz w:val="24"/>
              </w:rPr>
              <w:t>转</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内存</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w:t>
            </w:r>
            <w:r>
              <w:rPr>
                <w:rFonts w:hint="eastAsia" w:ascii="宋体" w:hAnsi="宋体" w:cs="Tahoma"/>
                <w:kern w:val="0"/>
                <w:sz w:val="24"/>
              </w:rPr>
              <w:t>≥</w:t>
            </w:r>
            <w:r>
              <w:rPr>
                <w:rFonts w:hint="eastAsia"/>
                <w:kern w:val="0"/>
                <w:sz w:val="24"/>
              </w:rPr>
              <w:t>8</w:t>
            </w:r>
            <w:r>
              <w:rPr>
                <w:kern w:val="0"/>
                <w:sz w:val="24"/>
              </w:rPr>
              <w:t>G</w:t>
            </w:r>
            <w:r>
              <w:rPr>
                <w:rFonts w:hint="eastAsia"/>
                <w:kern w:val="0"/>
                <w:sz w:val="24"/>
              </w:rPr>
              <w:t xml:space="preserve"> </w:t>
            </w:r>
            <w:r>
              <w:rPr>
                <w:kern w:val="0"/>
                <w:sz w:val="24"/>
              </w:rPr>
              <w:t xml:space="preserve"> DDR4 2666</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显卡</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kern w:val="0"/>
                <w:sz w:val="24"/>
              </w:rPr>
              <w:t>集成显卡</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声卡</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集成声卡</w:t>
            </w:r>
            <w:r>
              <w:rPr>
                <w:color w:val="000000"/>
              </w:rPr>
              <w:t>,5.1</w:t>
            </w:r>
            <w:r>
              <w:rPr>
                <w:rFonts w:hAnsi="宋体"/>
                <w:color w:val="000000"/>
              </w:rPr>
              <w:t>声道，前置音频接口不少于</w:t>
            </w:r>
            <w:r>
              <w:rPr>
                <w:color w:val="000000"/>
              </w:rPr>
              <w:t>2</w:t>
            </w:r>
            <w:r>
              <w:rPr>
                <w:rFonts w:hAnsi="宋体"/>
                <w:color w:val="000000"/>
              </w:rPr>
              <w:t>个</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网卡</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10/100/1000M自适应</w:t>
            </w:r>
            <w:r>
              <w:rPr>
                <w:rFonts w:hint="eastAsia" w:hAnsi="宋体"/>
                <w:color w:val="000000"/>
              </w:rPr>
              <w:t>，</w:t>
            </w:r>
            <w:r>
              <w:rPr>
                <w:rFonts w:hAnsi="宋体"/>
                <w:color w:val="000000"/>
              </w:rPr>
              <w:t>RJ45接口</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接口</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color w:val="000000"/>
                <w:kern w:val="0"/>
                <w:sz w:val="24"/>
              </w:rPr>
              <w:t>USB3.1</w:t>
            </w:r>
            <w:r>
              <w:rPr>
                <w:rFonts w:hAnsi="宋体"/>
                <w:color w:val="000000"/>
                <w:kern w:val="0"/>
                <w:sz w:val="24"/>
              </w:rPr>
              <w:t>接口</w:t>
            </w:r>
            <w:r>
              <w:rPr>
                <w:rFonts w:hint="eastAsia" w:ascii="宋体" w:hAnsi="宋体" w:cs="Tahoma"/>
                <w:kern w:val="0"/>
                <w:sz w:val="24"/>
              </w:rPr>
              <w:t>≥</w:t>
            </w:r>
            <w:r>
              <w:rPr>
                <w:color w:val="000000"/>
                <w:kern w:val="0"/>
                <w:sz w:val="24"/>
              </w:rPr>
              <w:t>6</w:t>
            </w:r>
            <w:r>
              <w:rPr>
                <w:rFonts w:hAnsi="宋体"/>
                <w:color w:val="000000"/>
                <w:kern w:val="0"/>
                <w:sz w:val="24"/>
              </w:rPr>
              <w:t>个</w:t>
            </w:r>
            <w:r>
              <w:rPr>
                <w:color w:val="000000"/>
                <w:kern w:val="0"/>
                <w:sz w:val="24"/>
              </w:rPr>
              <w:t>(</w:t>
            </w:r>
            <w:r>
              <w:rPr>
                <w:rFonts w:hAnsi="宋体"/>
                <w:color w:val="000000"/>
                <w:kern w:val="0"/>
                <w:sz w:val="24"/>
              </w:rPr>
              <w:t>前置</w:t>
            </w:r>
            <w:r>
              <w:rPr>
                <w:color w:val="000000"/>
                <w:kern w:val="0"/>
                <w:sz w:val="24"/>
              </w:rPr>
              <w:t>USB 3.1</w:t>
            </w:r>
            <w:r>
              <w:rPr>
                <w:rFonts w:hAnsi="宋体"/>
                <w:color w:val="000000"/>
                <w:kern w:val="0"/>
                <w:sz w:val="24"/>
              </w:rPr>
              <w:t>接口</w:t>
            </w:r>
            <w:r>
              <w:rPr>
                <w:rFonts w:hint="eastAsia" w:ascii="宋体" w:hAnsi="宋体" w:cs="Tahoma"/>
                <w:kern w:val="0"/>
                <w:sz w:val="24"/>
              </w:rPr>
              <w:t>≥</w:t>
            </w:r>
            <w:r>
              <w:rPr>
                <w:color w:val="000000"/>
                <w:kern w:val="0"/>
                <w:sz w:val="24"/>
              </w:rPr>
              <w:t>4</w:t>
            </w:r>
            <w:r>
              <w:rPr>
                <w:rFonts w:hAnsi="宋体"/>
                <w:color w:val="000000"/>
                <w:kern w:val="0"/>
                <w:sz w:val="24"/>
              </w:rPr>
              <w:t>个</w:t>
            </w:r>
            <w:r>
              <w:rPr>
                <w:color w:val="000000"/>
                <w:kern w:val="0"/>
                <w:sz w:val="24"/>
              </w:rPr>
              <w:t>)</w:t>
            </w:r>
            <w:r>
              <w:rPr>
                <w:rFonts w:hint="eastAsia"/>
                <w:color w:val="000000"/>
                <w:kern w:val="0"/>
                <w:sz w:val="24"/>
              </w:rPr>
              <w:t>，</w:t>
            </w:r>
            <w:r>
              <w:rPr>
                <w:color w:val="000000"/>
                <w:kern w:val="0"/>
                <w:sz w:val="24"/>
              </w:rPr>
              <w:t>HDMI</w:t>
            </w:r>
            <w:r>
              <w:rPr>
                <w:rFonts w:hint="eastAsia"/>
                <w:color w:val="000000"/>
                <w:kern w:val="0"/>
                <w:sz w:val="24"/>
              </w:rPr>
              <w:t>，</w:t>
            </w:r>
            <w:r>
              <w:rPr>
                <w:color w:val="000000"/>
                <w:kern w:val="0"/>
                <w:sz w:val="24"/>
              </w:rPr>
              <w:t>VGA</w:t>
            </w:r>
            <w:r>
              <w:rPr>
                <w:rFonts w:hint="eastAsia"/>
                <w:color w:val="000000"/>
                <w:kern w:val="0"/>
                <w:sz w:val="24"/>
              </w:rPr>
              <w:t>，</w:t>
            </w:r>
            <w:r>
              <w:rPr>
                <w:color w:val="000000"/>
                <w:kern w:val="0"/>
                <w:sz w:val="24"/>
              </w:rPr>
              <w:t>DP</w:t>
            </w:r>
            <w:r>
              <w:rPr>
                <w:rFonts w:hint="eastAsia"/>
                <w:color w:val="000000"/>
                <w:kern w:val="0"/>
                <w:sz w:val="24"/>
              </w:rPr>
              <w:t>，</w:t>
            </w:r>
            <w:r>
              <w:rPr>
                <w:color w:val="000000"/>
                <w:kern w:val="0"/>
                <w:sz w:val="24"/>
              </w:rPr>
              <w:t>2*PS2</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扩展插槽</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color w:val="000000"/>
              </w:rPr>
              <w:t>PCI-E</w:t>
            </w:r>
            <w:r>
              <w:rPr>
                <w:rFonts w:hAnsi="宋体"/>
                <w:color w:val="000000"/>
              </w:rPr>
              <w:t>插槽</w:t>
            </w:r>
            <w:r>
              <w:rPr>
                <w:rFonts w:hint="eastAsia" w:ascii="宋体" w:hAnsi="宋体" w:cs="Tahoma"/>
                <w:kern w:val="0"/>
                <w:sz w:val="24"/>
              </w:rPr>
              <w:t>≥</w:t>
            </w:r>
            <w:r>
              <w:rPr>
                <w:color w:val="000000"/>
              </w:rPr>
              <w:t>3</w:t>
            </w:r>
            <w:r>
              <w:rPr>
                <w:rFonts w:hAnsi="宋体"/>
                <w:color w:val="000000"/>
              </w:rPr>
              <w:t>个</w:t>
            </w:r>
            <w:r>
              <w:rPr>
                <w:rFonts w:hint="eastAsia" w:hAnsi="宋体"/>
                <w:color w:val="000000"/>
              </w:rPr>
              <w:t>，</w:t>
            </w:r>
            <w:r>
              <w:rPr>
                <w:color w:val="000000"/>
              </w:rPr>
              <w:t>PCI</w:t>
            </w:r>
            <w:r>
              <w:rPr>
                <w:rFonts w:hAnsi="宋体"/>
                <w:color w:val="000000"/>
              </w:rPr>
              <w:t>全高原生态插槽</w:t>
            </w:r>
            <w:r>
              <w:rPr>
                <w:rFonts w:hint="eastAsia" w:ascii="宋体" w:hAnsi="宋体" w:cs="Tahoma"/>
                <w:kern w:val="0"/>
                <w:sz w:val="24"/>
              </w:rPr>
              <w:t>≥</w:t>
            </w:r>
            <w:r>
              <w:rPr>
                <w:color w:val="000000"/>
              </w:rPr>
              <w:t>1</w:t>
            </w:r>
            <w:r>
              <w:rPr>
                <w:rFonts w:hAnsi="宋体"/>
                <w:color w:val="000000"/>
              </w:rPr>
              <w:t>个</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显示器</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屏幕尺寸</w:t>
            </w:r>
            <w:r>
              <w:rPr>
                <w:rFonts w:hint="eastAsia" w:ascii="宋体" w:hAnsi="宋体" w:cs="Tahoma"/>
                <w:kern w:val="0"/>
                <w:sz w:val="24"/>
              </w:rPr>
              <w:t>≥</w:t>
            </w:r>
            <w:r>
              <w:rPr>
                <w:color w:val="000000"/>
              </w:rPr>
              <w:t>21.5</w:t>
            </w:r>
            <w:r>
              <w:rPr>
                <w:rFonts w:hAnsi="宋体"/>
                <w:color w:val="000000"/>
              </w:rPr>
              <w:t>英寸</w:t>
            </w:r>
            <w:r>
              <w:rPr>
                <w:color w:val="000000"/>
              </w:rPr>
              <w:t>,</w:t>
            </w:r>
            <w:r>
              <w:rPr>
                <w:rFonts w:hAnsi="宋体"/>
                <w:color w:val="000000"/>
              </w:rPr>
              <w:t>屏幕分辨率</w:t>
            </w:r>
            <w:r>
              <w:rPr>
                <w:rFonts w:hint="eastAsia" w:ascii="宋体" w:hAnsi="宋体" w:cs="Tahoma"/>
                <w:kern w:val="0"/>
                <w:sz w:val="24"/>
              </w:rPr>
              <w:t>≥</w:t>
            </w:r>
            <w:r>
              <w:rPr>
                <w:color w:val="000000"/>
              </w:rPr>
              <w:t>1920*1080</w:t>
            </w:r>
            <w:r>
              <w:rPr>
                <w:rFonts w:hint="eastAsia" w:hAnsi="宋体"/>
              </w:rPr>
              <w:t>。</w:t>
            </w:r>
          </w:p>
          <w:p>
            <w:pPr>
              <w:rPr>
                <w:color w:val="000000"/>
              </w:rPr>
            </w:pPr>
            <w:r>
              <w:rPr>
                <w:rFonts w:hAnsi="宋体"/>
                <w:color w:val="000000"/>
              </w:rPr>
              <w:t>低蓝光护眼，响应时间不大于</w:t>
            </w:r>
            <w:r>
              <w:rPr>
                <w:color w:val="000000"/>
              </w:rPr>
              <w:t>2</w:t>
            </w:r>
            <w:r>
              <w:rPr>
                <w:rFonts w:hint="eastAsia"/>
                <w:color w:val="000000"/>
              </w:rPr>
              <w:t>m</w:t>
            </w:r>
            <w:r>
              <w:rPr>
                <w:color w:val="000000"/>
              </w:rPr>
              <w:t>s</w:t>
            </w:r>
            <w:r>
              <w:rPr>
                <w:rFonts w:hint="eastAsia"/>
                <w:color w:val="000000"/>
              </w:rPr>
              <w:t>，</w:t>
            </w:r>
            <w:r>
              <w:rPr>
                <w:rFonts w:hAnsi="宋体"/>
                <w:color w:val="000000"/>
              </w:rPr>
              <w:t>与主机同品牌，</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机箱</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kern w:val="0"/>
              </w:rPr>
              <w:t>★</w:t>
            </w:r>
            <w:r>
              <w:rPr>
                <w:rFonts w:hAnsi="宋体"/>
                <w:color w:val="000000"/>
              </w:rPr>
              <w:t>立式，</w:t>
            </w:r>
            <w:r>
              <w:rPr>
                <w:rFonts w:hint="eastAsia" w:hAnsi="宋体"/>
                <w:color w:val="000000"/>
              </w:rPr>
              <w:t>15L</w:t>
            </w:r>
            <w:r>
              <w:rPr>
                <w:rFonts w:hint="eastAsia" w:hAnsi="宋体"/>
                <w:sz w:val="24"/>
              </w:rPr>
              <w:t>≤</w:t>
            </w:r>
            <w:r>
              <w:rPr>
                <w:rFonts w:hAnsi="宋体"/>
                <w:color w:val="000000"/>
              </w:rPr>
              <w:t>机箱容积</w:t>
            </w:r>
            <w:r>
              <w:rPr>
                <w:rFonts w:hint="eastAsia" w:hAnsi="宋体"/>
                <w:sz w:val="24"/>
              </w:rPr>
              <w:t>≤</w:t>
            </w:r>
            <w:r>
              <w:rPr>
                <w:rFonts w:hint="eastAsia"/>
                <w:color w:val="000000"/>
              </w:rPr>
              <w:t>21</w:t>
            </w:r>
            <w:r>
              <w:rPr>
                <w:color w:val="000000"/>
              </w:rPr>
              <w:t>L</w:t>
            </w:r>
            <w:r>
              <w:rPr>
                <w:rFonts w:hint="eastAsia"/>
                <w:color w:val="000000"/>
              </w:rPr>
              <w:t>，</w:t>
            </w:r>
            <w:r>
              <w:rPr>
                <w:rFonts w:hAnsi="宋体"/>
                <w:color w:val="000000"/>
              </w:rPr>
              <w:t>顶置提手</w:t>
            </w:r>
            <w:r>
              <w:rPr>
                <w:rFonts w:hint="eastAsia" w:hAnsi="宋体"/>
                <w:color w:val="000000"/>
              </w:rPr>
              <w:t>。</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操作系统</w:t>
            </w:r>
          </w:p>
        </w:tc>
        <w:tc>
          <w:tcPr>
            <w:tcW w:w="8268" w:type="dxa"/>
            <w:tcBorders>
              <w:top w:val="single" w:color="auto" w:sz="4" w:space="0"/>
              <w:left w:val="nil"/>
              <w:bottom w:val="single" w:color="auto" w:sz="4" w:space="0"/>
              <w:right w:val="single" w:color="auto" w:sz="4" w:space="0"/>
            </w:tcBorders>
            <w:noWrap w:val="0"/>
            <w:vAlign w:val="center"/>
          </w:tcPr>
          <w:p>
            <w:pPr>
              <w:rPr>
                <w:rFonts w:hint="eastAsia" w:hAnsi="宋体"/>
                <w:color w:val="000000"/>
              </w:rPr>
            </w:pPr>
            <w:r>
              <w:rPr>
                <w:rFonts w:hAnsi="宋体"/>
                <w:color w:val="000000"/>
              </w:rPr>
              <w:t>预装</w:t>
            </w:r>
            <w:r>
              <w:rPr>
                <w:rFonts w:hAnsi="宋体"/>
                <w:kern w:val="0"/>
                <w:sz w:val="24"/>
              </w:rPr>
              <w:t>正版</w:t>
            </w:r>
            <w:r>
              <w:rPr>
                <w:kern w:val="0"/>
                <w:sz w:val="24"/>
              </w:rPr>
              <w:t>Windows</w:t>
            </w:r>
            <w:r>
              <w:rPr>
                <w:rFonts w:hAnsi="宋体"/>
                <w:kern w:val="0"/>
                <w:sz w:val="24"/>
              </w:rPr>
              <w:t>系统</w:t>
            </w:r>
            <w:r>
              <w:rPr>
                <w:rFonts w:hint="eastAsia" w:hAnsi="宋体"/>
                <w:color w:val="000000"/>
              </w:rPr>
              <w:t>，</w:t>
            </w:r>
          </w:p>
          <w:p>
            <w:pPr>
              <w:rPr>
                <w:color w:val="000000"/>
              </w:rPr>
            </w:pPr>
            <w:r>
              <w:rPr>
                <w:rFonts w:hAnsi="宋体"/>
                <w:kern w:val="0"/>
              </w:rPr>
              <w:t>★</w:t>
            </w:r>
            <w:r>
              <w:rPr>
                <w:rFonts w:hint="eastAsia" w:hAnsi="宋体"/>
                <w:kern w:val="0"/>
              </w:rPr>
              <w:t>主板</w:t>
            </w:r>
            <w:r>
              <w:rPr>
                <w:rFonts w:hint="eastAsia" w:hAnsi="宋体"/>
                <w:color w:val="000000"/>
              </w:rPr>
              <w:t>BOIS内置系统保护软件</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键鼠</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color w:val="000000"/>
              </w:rPr>
              <w:t>USB</w:t>
            </w:r>
            <w:r>
              <w:rPr>
                <w:rFonts w:hAnsi="宋体"/>
                <w:color w:val="000000"/>
              </w:rPr>
              <w:t>接口防水抗菌键盘、鼠标</w:t>
            </w:r>
            <w:r>
              <w:rPr>
                <w:rFonts w:hint="eastAsia" w:hAnsi="宋体"/>
                <w:color w:val="000000"/>
              </w:rPr>
              <w:t>，</w:t>
            </w:r>
            <w:r>
              <w:rPr>
                <w:rFonts w:hAnsi="宋体"/>
                <w:color w:val="000000"/>
              </w:rPr>
              <w:t>与主机同品牌；</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服务</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原厂保修</w:t>
            </w:r>
            <w:r>
              <w:rPr>
                <w:rFonts w:hint="eastAsia" w:ascii="宋体" w:hAnsi="宋体" w:cs="Tahoma"/>
                <w:kern w:val="0"/>
                <w:sz w:val="24"/>
              </w:rPr>
              <w:t>≥</w:t>
            </w:r>
            <w:r>
              <w:rPr>
                <w:color w:val="000000"/>
              </w:rPr>
              <w:t>5</w:t>
            </w:r>
            <w:r>
              <w:rPr>
                <w:rFonts w:hAnsi="宋体"/>
                <w:color w:val="000000"/>
              </w:rPr>
              <w:t>年</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机型</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国际知名品牌，商用台式计算机</w:t>
            </w:r>
          </w:p>
        </w:tc>
      </w:tr>
    </w:tbl>
    <w:p>
      <w:pPr>
        <w:spacing w:line="360" w:lineRule="auto"/>
        <w:ind w:firstLine="600" w:firstLineChars="250"/>
        <w:rPr>
          <w:rFonts w:hint="eastAsia" w:ascii="宋体" w:hAnsi="宋体"/>
          <w:sz w:val="24"/>
        </w:rPr>
      </w:pPr>
      <w:r>
        <w:rPr>
          <w:rFonts w:hint="eastAsia" w:ascii="宋体" w:hAnsi="宋体"/>
          <w:sz w:val="24"/>
        </w:rPr>
        <w:t>注：★为关键指标，要求必须满足</w:t>
      </w:r>
    </w:p>
    <w:p>
      <w:pPr>
        <w:spacing w:before="156" w:beforeLines="50" w:line="360" w:lineRule="auto"/>
        <w:rPr>
          <w:rFonts w:hint="eastAsia" w:ascii="宋体" w:hAnsi="宋体"/>
          <w:b/>
          <w:sz w:val="24"/>
        </w:rPr>
      </w:pPr>
      <w:r>
        <w:rPr>
          <w:rFonts w:hint="eastAsia" w:ascii="宋体" w:hAnsi="宋体"/>
          <w:b/>
          <w:sz w:val="24"/>
        </w:rPr>
        <w:t>三、商务条款</w:t>
      </w:r>
    </w:p>
    <w:p>
      <w:pPr>
        <w:spacing w:line="360" w:lineRule="auto"/>
        <w:ind w:firstLine="480" w:firstLineChars="200"/>
        <w:rPr>
          <w:rFonts w:hint="eastAsia" w:ascii="宋体" w:hAnsi="宋体"/>
          <w:sz w:val="24"/>
        </w:rPr>
      </w:pPr>
      <w:r>
        <w:rPr>
          <w:rFonts w:hint="eastAsia" w:ascii="宋体" w:hAnsi="宋体"/>
          <w:sz w:val="24"/>
        </w:rPr>
        <w:t>1、本项目所采购设备，中标方必须承诺免费运送至南邮通达学院扬州校区(扬州市邗江区润扬南路33号)指定地点；按要求安装到位。</w:t>
      </w:r>
    </w:p>
    <w:p>
      <w:pPr>
        <w:spacing w:line="360" w:lineRule="auto"/>
        <w:ind w:firstLine="480" w:firstLineChars="200"/>
        <w:rPr>
          <w:rFonts w:hint="eastAsia" w:ascii="宋体" w:hAnsi="宋体"/>
          <w:sz w:val="24"/>
        </w:rPr>
      </w:pPr>
      <w:r>
        <w:rPr>
          <w:rFonts w:hint="eastAsia" w:ascii="宋体" w:hAnsi="宋体"/>
          <w:sz w:val="24"/>
        </w:rPr>
        <w:t>2、质保期及售后服务要求：质保3年。质保期内因维修产生的一切费用均由中标人承担。</w:t>
      </w:r>
    </w:p>
    <w:p>
      <w:pPr>
        <w:spacing w:line="360" w:lineRule="auto"/>
        <w:ind w:firstLine="480" w:firstLineChars="200"/>
        <w:rPr>
          <w:rFonts w:hint="eastAsia" w:ascii="宋体" w:hAnsi="宋体"/>
          <w:sz w:val="24"/>
        </w:rPr>
      </w:pPr>
      <w:r>
        <w:rPr>
          <w:rFonts w:hint="eastAsia" w:ascii="宋体" w:hAnsi="宋体"/>
          <w:sz w:val="24"/>
        </w:rPr>
        <w:t>3、供货时限：</w:t>
      </w:r>
      <w:r>
        <w:rPr>
          <w:rFonts w:hint="eastAsia" w:ascii="宋体" w:hAnsi="宋体"/>
          <w:sz w:val="24"/>
          <w:shd w:val="clear" w:fill="FFFF00"/>
        </w:rPr>
        <w:t>合同签订后10个工作日</w:t>
      </w:r>
      <w:r>
        <w:rPr>
          <w:rFonts w:hint="eastAsia" w:ascii="宋体" w:hAnsi="宋体"/>
          <w:sz w:val="24"/>
        </w:rPr>
        <w:t>内送至项目指定地点并完成安装。</w:t>
      </w:r>
    </w:p>
    <w:p>
      <w:pPr>
        <w:spacing w:line="360" w:lineRule="auto"/>
        <w:ind w:firstLine="480" w:firstLineChars="200"/>
        <w:rPr>
          <w:rFonts w:hint="eastAsia" w:ascii="宋体" w:hAnsi="宋体"/>
          <w:sz w:val="24"/>
        </w:rPr>
      </w:pPr>
      <w:r>
        <w:rPr>
          <w:rFonts w:hint="eastAsia" w:ascii="宋体" w:hAnsi="宋体"/>
          <w:sz w:val="24"/>
        </w:rPr>
        <w:t>4、付款方式：本采购项目无预付款，安装结束，经甲乙双方共同验收合格后，付至合同总额的90%；壹年后无质量问题，余款无息结清。甲方付款前乙方需提供合法、有效、等额的增值税专用发票，并在发票备注栏注明“教学用”字样，否则，甲方有权拒付相应款项。</w:t>
      </w:r>
    </w:p>
    <w:p>
      <w:pPr>
        <w:spacing w:line="360" w:lineRule="auto"/>
        <w:ind w:firstLine="482" w:firstLineChars="200"/>
        <w:rPr>
          <w:rFonts w:hint="eastAsia" w:ascii="宋体" w:hAnsi="宋体"/>
          <w:b/>
          <w:sz w:val="24"/>
        </w:rPr>
      </w:pPr>
      <w:r>
        <w:rPr>
          <w:rFonts w:hint="eastAsia" w:ascii="宋体" w:hAnsi="宋体"/>
          <w:b/>
          <w:sz w:val="24"/>
        </w:rPr>
        <w:t>四、综合说明及其它要求：</w:t>
      </w:r>
    </w:p>
    <w:p>
      <w:pPr>
        <w:spacing w:line="360" w:lineRule="auto"/>
        <w:ind w:firstLine="480" w:firstLineChars="200"/>
        <w:rPr>
          <w:rFonts w:hint="eastAsia" w:ascii="宋体" w:hAnsi="宋体"/>
          <w:sz w:val="24"/>
        </w:rPr>
      </w:pPr>
      <w:r>
        <w:rPr>
          <w:rFonts w:hint="eastAsia" w:ascii="宋体" w:hAnsi="宋体"/>
          <w:sz w:val="24"/>
        </w:rPr>
        <w:t>1、投标人应对所投项目的全部内容进行报价，只投其中部分内容者，其标书将被拒绝。</w:t>
      </w:r>
    </w:p>
    <w:p>
      <w:pPr>
        <w:spacing w:line="360" w:lineRule="auto"/>
        <w:ind w:firstLine="480" w:firstLineChars="200"/>
        <w:rPr>
          <w:rFonts w:ascii="宋体" w:hAnsi="宋体"/>
          <w:sz w:val="24"/>
        </w:rPr>
      </w:pPr>
      <w:r>
        <w:rPr>
          <w:rFonts w:hint="eastAsia" w:ascii="宋体" w:hAnsi="宋体"/>
          <w:sz w:val="24"/>
        </w:rPr>
        <w:t>2、凡涉及招标文件的补充说明和修改，均以南京邮电大学通达学院公示的补充通知为准。</w:t>
      </w:r>
    </w:p>
    <w:p>
      <w:pPr>
        <w:adjustRightInd w:val="0"/>
        <w:snapToGrid w:val="0"/>
        <w:spacing w:line="360" w:lineRule="auto"/>
        <w:ind w:firstLine="480" w:firstLineChars="200"/>
        <w:rPr>
          <w:rFonts w:ascii="宋体" w:hAnsi="宋体" w:cs="宋体"/>
          <w:sz w:val="24"/>
        </w:rPr>
      </w:pPr>
    </w:p>
    <w:p>
      <w:pPr>
        <w:pStyle w:val="10"/>
        <w:spacing w:line="420" w:lineRule="exact"/>
        <w:rPr>
          <w:b/>
          <w:sz w:val="44"/>
          <w:szCs w:val="44"/>
        </w:rPr>
      </w:pPr>
    </w:p>
    <w:p>
      <w:pPr>
        <w:pStyle w:val="10"/>
        <w:spacing w:line="420" w:lineRule="exact"/>
        <w:rPr>
          <w:b/>
          <w:sz w:val="44"/>
          <w:szCs w:val="44"/>
        </w:rPr>
        <w:sectPr>
          <w:footerReference r:id="rId10" w:type="default"/>
          <w:type w:val="continuous"/>
          <w:pgSz w:w="11906" w:h="16838"/>
          <w:pgMar w:top="1440" w:right="1077" w:bottom="1440" w:left="1077" w:header="851" w:footer="907" w:gutter="0"/>
          <w:pgNumType w:fmt="decimal"/>
          <w:cols w:space="720" w:num="1"/>
          <w:titlePg/>
          <w:docGrid w:linePitch="290" w:charSpace="0"/>
        </w:sectPr>
      </w:pPr>
    </w:p>
    <w:p>
      <w:pPr>
        <w:pStyle w:val="10"/>
        <w:spacing w:line="420" w:lineRule="exact"/>
        <w:jc w:val="center"/>
        <w:rPr>
          <w:b/>
          <w:sz w:val="44"/>
          <w:szCs w:val="44"/>
        </w:rPr>
      </w:pPr>
    </w:p>
    <w:p>
      <w:pPr>
        <w:pStyle w:val="10"/>
        <w:spacing w:line="420" w:lineRule="exact"/>
        <w:jc w:val="center"/>
        <w:rPr>
          <w:b/>
          <w:sz w:val="44"/>
          <w:szCs w:val="44"/>
        </w:rPr>
      </w:pPr>
      <w:r>
        <w:rPr>
          <w:rFonts w:hint="eastAsia"/>
          <w:b/>
          <w:sz w:val="44"/>
          <w:szCs w:val="44"/>
        </w:rPr>
        <w:t>第五章  评标方法与评标标准</w:t>
      </w:r>
    </w:p>
    <w:bookmarkEnd w:id="24"/>
    <w:bookmarkEnd w:id="25"/>
    <w:bookmarkEnd w:id="26"/>
    <w:bookmarkEnd w:id="27"/>
    <w:bookmarkEnd w:id="28"/>
    <w:bookmarkEnd w:id="29"/>
    <w:p>
      <w:pPr>
        <w:pStyle w:val="10"/>
        <w:adjustRightInd w:val="0"/>
        <w:snapToGrid w:val="0"/>
        <w:spacing w:line="440" w:lineRule="exact"/>
        <w:jc w:val="center"/>
        <w:rPr>
          <w:rFonts w:hAnsi="宋体" w:cs="宋体"/>
          <w:b/>
          <w:sz w:val="44"/>
          <w:szCs w:val="44"/>
        </w:rPr>
      </w:pPr>
    </w:p>
    <w:p>
      <w:pPr>
        <w:tabs>
          <w:tab w:val="left" w:pos="0"/>
          <w:tab w:val="left" w:pos="993"/>
          <w:tab w:val="left" w:pos="1134"/>
        </w:tabs>
        <w:adjustRightInd w:val="0"/>
        <w:snapToGrid w:val="0"/>
        <w:spacing w:beforeLines="50" w:afterLines="50" w:line="360" w:lineRule="exact"/>
        <w:ind w:firstLine="480" w:firstLineChars="200"/>
        <w:rPr>
          <w:rFonts w:ascii="宋体" w:hAnsi="宋体"/>
          <w:bCs/>
          <w:snapToGrid w:val="0"/>
          <w:sz w:val="24"/>
        </w:rPr>
      </w:pPr>
      <w:r>
        <w:rPr>
          <w:rFonts w:hint="eastAsia" w:ascii="宋体" w:hAnsi="宋体"/>
          <w:bCs/>
          <w:snapToGrid w:val="0"/>
          <w:sz w:val="24"/>
        </w:rPr>
        <w:t>一、总则</w:t>
      </w:r>
    </w:p>
    <w:p>
      <w:pPr>
        <w:tabs>
          <w:tab w:val="left" w:pos="0"/>
          <w:tab w:val="left" w:pos="600"/>
          <w:tab w:val="left" w:pos="1134"/>
        </w:tabs>
        <w:adjustRightInd w:val="0"/>
        <w:snapToGrid w:val="0"/>
        <w:spacing w:beforeLines="50" w:afterLines="50" w:line="360" w:lineRule="exact"/>
        <w:ind w:firstLine="472" w:firstLineChars="197"/>
        <w:rPr>
          <w:rFonts w:ascii="宋体" w:hAnsi="宋体"/>
          <w:bCs/>
          <w:sz w:val="24"/>
        </w:rPr>
      </w:pPr>
      <w:r>
        <w:rPr>
          <w:rFonts w:hint="eastAsia" w:ascii="宋体" w:hAnsi="宋体"/>
          <w:bCs/>
          <w:sz w:val="24"/>
        </w:rPr>
        <w:t>本次评标采用综合评分法，即在满足招标文件实质性要求前提下，按照招标文件中规定的评分标准和各项因素进行综合评审后，以评标总得分最高的投标人作为中标候选供应商或中标供应商。</w:t>
      </w:r>
      <w:r>
        <w:rPr>
          <w:rFonts w:ascii="宋体" w:hAnsi="宋体"/>
          <w:bCs/>
          <w:sz w:val="24"/>
        </w:rPr>
        <w:t>得分相同的，按投标报价由低到高顺序排列。得分且投标报价相同的，按技术服务方案优劣顺序排列</w:t>
      </w:r>
      <w:r>
        <w:rPr>
          <w:rFonts w:hint="eastAsia" w:ascii="宋体" w:hAnsi="宋体"/>
          <w:bCs/>
          <w:sz w:val="24"/>
        </w:rPr>
        <w:t>本综合评分法采用百分制形式，具体分值详见本细则。</w:t>
      </w:r>
    </w:p>
    <w:p>
      <w:pPr>
        <w:spacing w:beforeLines="50" w:afterLines="50" w:line="360" w:lineRule="exact"/>
        <w:ind w:firstLine="472" w:firstLineChars="196"/>
        <w:rPr>
          <w:rFonts w:ascii="宋体" w:hAnsi="宋体"/>
          <w:b/>
          <w:sz w:val="24"/>
          <w:szCs w:val="24"/>
        </w:rPr>
      </w:pPr>
      <w:r>
        <w:rPr>
          <w:rFonts w:hint="eastAsia" w:ascii="宋体" w:hAnsi="宋体"/>
          <w:b/>
          <w:sz w:val="24"/>
          <w:szCs w:val="24"/>
        </w:rPr>
        <w:t>二</w:t>
      </w:r>
      <w:r>
        <w:rPr>
          <w:rFonts w:ascii="宋体" w:hAnsi="宋体"/>
          <w:b/>
          <w:sz w:val="24"/>
          <w:szCs w:val="24"/>
        </w:rPr>
        <w:t>、评标标准</w:t>
      </w:r>
    </w:p>
    <w:p>
      <w:pPr>
        <w:tabs>
          <w:tab w:val="left" w:pos="0"/>
          <w:tab w:val="left" w:pos="600"/>
          <w:tab w:val="left" w:pos="1134"/>
        </w:tabs>
        <w:adjustRightInd w:val="0"/>
        <w:snapToGrid w:val="0"/>
        <w:spacing w:beforeLines="50" w:afterLines="50" w:line="360" w:lineRule="exact"/>
        <w:ind w:firstLine="472" w:firstLineChars="196"/>
        <w:rPr>
          <w:rFonts w:ascii="黑体" w:eastAsia="黑体"/>
          <w:b/>
          <w:bCs/>
          <w:sz w:val="28"/>
          <w:szCs w:val="28"/>
        </w:rPr>
      </w:pPr>
      <w:r>
        <w:rPr>
          <w:rFonts w:hint="eastAsia" w:ascii="宋体" w:hAnsi="宋体"/>
          <w:b/>
          <w:bCs/>
          <w:sz w:val="24"/>
        </w:rPr>
        <w:t>1.投标报价（40分）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sz w:val="24"/>
        </w:rPr>
      </w:pPr>
      <w:r>
        <w:rPr>
          <w:rFonts w:hint="eastAsia" w:ascii="宋体" w:hAnsi="宋体"/>
          <w:sz w:val="24"/>
        </w:rPr>
        <w:t>采用低价优先法计算，即满足招标文件要求且投标价格最低的投标报价为评标基准</w:t>
      </w:r>
    </w:p>
    <w:p>
      <w:pPr>
        <w:tabs>
          <w:tab w:val="left" w:pos="0"/>
          <w:tab w:val="left" w:pos="600"/>
          <w:tab w:val="left" w:pos="993"/>
          <w:tab w:val="left" w:pos="1134"/>
        </w:tabs>
        <w:adjustRightInd w:val="0"/>
        <w:snapToGrid w:val="0"/>
        <w:spacing w:beforeLines="50" w:afterLines="50" w:line="360" w:lineRule="exact"/>
        <w:jc w:val="left"/>
        <w:rPr>
          <w:rFonts w:ascii="宋体" w:hAnsi="宋体"/>
          <w:sz w:val="24"/>
        </w:rPr>
      </w:pPr>
      <w:r>
        <w:rPr>
          <w:rFonts w:hint="eastAsia" w:ascii="宋体" w:hAnsi="宋体"/>
          <w:sz w:val="24"/>
        </w:rPr>
        <w:t>价，其价格为满分。其他投标人的价格分按照下列公式计算：</w:t>
      </w:r>
    </w:p>
    <w:p>
      <w:pPr>
        <w:tabs>
          <w:tab w:val="left" w:pos="0"/>
          <w:tab w:val="left" w:pos="600"/>
          <w:tab w:val="left" w:pos="993"/>
          <w:tab w:val="left" w:pos="1134"/>
        </w:tabs>
        <w:adjustRightInd w:val="0"/>
        <w:snapToGrid w:val="0"/>
        <w:spacing w:beforeLines="50" w:afterLines="50" w:line="360" w:lineRule="exact"/>
        <w:ind w:firstLine="480"/>
        <w:jc w:val="left"/>
        <w:rPr>
          <w:rFonts w:ascii="宋体" w:hAnsi="宋体"/>
          <w:sz w:val="24"/>
        </w:rPr>
      </w:pPr>
      <w:r>
        <w:rPr>
          <w:rFonts w:hint="eastAsia" w:ascii="宋体" w:hAnsi="宋体"/>
          <w:sz w:val="24"/>
        </w:rPr>
        <w:t>报价得分=（评标基准价/有效报价）</w:t>
      </w:r>
      <w:r>
        <w:rPr>
          <w:rFonts w:ascii="Arial" w:hAnsi="Arial" w:cs="Arial"/>
          <w:sz w:val="24"/>
        </w:rPr>
        <w:t>×</w:t>
      </w:r>
      <w:r>
        <w:rPr>
          <w:rFonts w:hint="eastAsia" w:ascii="宋体" w:hAnsi="宋体"/>
          <w:sz w:val="24"/>
        </w:rPr>
        <w:t>40。计算结果保留两位小数。</w:t>
      </w:r>
    </w:p>
    <w:p>
      <w:pPr>
        <w:tabs>
          <w:tab w:val="left" w:pos="0"/>
          <w:tab w:val="left" w:pos="600"/>
          <w:tab w:val="left" w:pos="1134"/>
        </w:tabs>
        <w:adjustRightInd w:val="0"/>
        <w:snapToGrid w:val="0"/>
        <w:spacing w:beforeLines="50" w:afterLines="50" w:line="360" w:lineRule="exact"/>
        <w:ind w:firstLine="472" w:firstLineChars="196"/>
        <w:rPr>
          <w:rFonts w:hint="eastAsia" w:ascii="宋体" w:hAnsi="宋体" w:eastAsia="宋体"/>
          <w:b/>
          <w:bCs/>
          <w:sz w:val="24"/>
        </w:rPr>
      </w:pPr>
      <w:r>
        <w:rPr>
          <w:rFonts w:hint="eastAsia" w:ascii="宋体" w:hAnsi="宋体" w:eastAsia="宋体"/>
          <w:b/>
          <w:bCs/>
          <w:sz w:val="24"/>
        </w:rPr>
        <w:t>2.技术参数响应情况(</w:t>
      </w:r>
      <w:r>
        <w:rPr>
          <w:rFonts w:hint="eastAsia" w:ascii="宋体" w:hAnsi="宋体" w:eastAsia="宋体"/>
          <w:b/>
          <w:bCs/>
          <w:sz w:val="24"/>
          <w:lang w:val="en-US" w:eastAsia="zh-CN"/>
        </w:rPr>
        <w:t>25</w:t>
      </w:r>
      <w:r>
        <w:rPr>
          <w:rFonts w:hint="eastAsia" w:ascii="宋体" w:hAnsi="宋体" w:eastAsia="宋体"/>
          <w:b/>
          <w:bCs/>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根据各投标文件对技术性能的响应情况（</w:t>
      </w:r>
      <w:r>
        <w:rPr>
          <w:rFonts w:hint="eastAsia" w:ascii="宋体" w:hAnsi="宋体"/>
          <w:color w:val="000000"/>
          <w:sz w:val="24"/>
          <w:lang w:val="en-US" w:eastAsia="zh-CN"/>
        </w:rPr>
        <w:t>按项目需求12项，每项2分</w:t>
      </w:r>
      <w:r>
        <w:rPr>
          <w:rFonts w:hint="eastAsia" w:ascii="宋体" w:hAnsi="宋体"/>
          <w:color w:val="000000"/>
          <w:sz w:val="24"/>
        </w:rPr>
        <w:t>，完全响应得</w:t>
      </w:r>
      <w:r>
        <w:rPr>
          <w:rFonts w:hint="eastAsia" w:ascii="宋体" w:hAnsi="宋体"/>
          <w:color w:val="000000"/>
          <w:sz w:val="24"/>
          <w:lang w:val="en-US" w:eastAsia="zh-CN"/>
        </w:rPr>
        <w:t>24</w:t>
      </w:r>
      <w:r>
        <w:rPr>
          <w:rFonts w:hint="eastAsia" w:ascii="宋体" w:hAnsi="宋体"/>
          <w:color w:val="000000"/>
          <w:sz w:val="24"/>
        </w:rPr>
        <w:t>分</w:t>
      </w:r>
      <w:r>
        <w:rPr>
          <w:rFonts w:hint="eastAsia" w:ascii="宋体" w:hAnsi="宋体"/>
          <w:color w:val="000000"/>
          <w:sz w:val="24"/>
          <w:lang w:eastAsia="zh-CN"/>
        </w:rPr>
        <w:t>，</w:t>
      </w:r>
      <w:r>
        <w:rPr>
          <w:rFonts w:hint="eastAsia" w:ascii="宋体" w:hAnsi="宋体"/>
          <w:color w:val="000000"/>
          <w:sz w:val="24"/>
        </w:rPr>
        <w:t>正偏离一项加</w:t>
      </w:r>
      <w:r>
        <w:rPr>
          <w:rFonts w:hint="eastAsia" w:ascii="宋体" w:hAnsi="宋体"/>
          <w:color w:val="000000"/>
          <w:sz w:val="24"/>
          <w:lang w:val="en-US" w:eastAsia="zh-CN"/>
        </w:rPr>
        <w:t>1</w:t>
      </w:r>
      <w:r>
        <w:rPr>
          <w:rFonts w:hint="eastAsia" w:ascii="宋体" w:hAnsi="宋体"/>
          <w:color w:val="000000"/>
          <w:sz w:val="24"/>
        </w:rPr>
        <w:t>分（</w:t>
      </w:r>
      <w:r>
        <w:rPr>
          <w:rFonts w:hint="eastAsia" w:ascii="宋体" w:hAnsi="宋体"/>
          <w:color w:val="000000"/>
          <w:sz w:val="24"/>
          <w:lang w:eastAsia="zh-CN"/>
        </w:rPr>
        <w:t>评审专家组</w:t>
      </w:r>
      <w:r>
        <w:rPr>
          <w:rFonts w:hint="eastAsia" w:ascii="宋体" w:hAnsi="宋体"/>
          <w:color w:val="000000"/>
          <w:sz w:val="24"/>
        </w:rPr>
        <w:t>认为超出指标有意义）</w:t>
      </w:r>
      <w:r>
        <w:rPr>
          <w:rFonts w:hint="eastAsia" w:ascii="宋体" w:hAnsi="宋体"/>
          <w:color w:val="000000"/>
          <w:sz w:val="24"/>
          <w:lang w:eastAsia="zh-CN"/>
        </w:rPr>
        <w:t>，</w:t>
      </w:r>
      <w:r>
        <w:rPr>
          <w:rFonts w:hint="eastAsia" w:ascii="宋体" w:hAnsi="宋体"/>
          <w:color w:val="000000"/>
          <w:sz w:val="24"/>
          <w:lang w:val="en-US" w:eastAsia="zh-CN"/>
        </w:rPr>
        <w:t>未加“</w:t>
      </w:r>
      <w:r>
        <w:rPr>
          <w:rFonts w:hint="eastAsia" w:ascii="宋体" w:hAnsi="宋体"/>
          <w:b/>
          <w:color w:val="000000"/>
          <w:sz w:val="18"/>
          <w:szCs w:val="18"/>
        </w:rPr>
        <w:t>★</w:t>
      </w:r>
      <w:r>
        <w:rPr>
          <w:rFonts w:hint="eastAsia" w:ascii="宋体" w:hAnsi="宋体"/>
          <w:color w:val="000000"/>
          <w:sz w:val="24"/>
          <w:lang w:val="en-US" w:eastAsia="zh-CN"/>
        </w:rPr>
        <w:t>”项参数负偏离一项扣1分</w:t>
      </w:r>
      <w:r>
        <w:rPr>
          <w:rFonts w:hint="eastAsia" w:ascii="宋体" w:hAnsi="宋体"/>
          <w:color w:val="000000"/>
          <w:sz w:val="24"/>
        </w:rPr>
        <w:t>，最高得分为</w:t>
      </w:r>
      <w:r>
        <w:rPr>
          <w:rFonts w:hint="eastAsia" w:ascii="宋体" w:hAnsi="宋体"/>
          <w:color w:val="000000"/>
          <w:sz w:val="24"/>
          <w:lang w:val="en-US" w:eastAsia="zh-CN"/>
        </w:rPr>
        <w:t>25</w:t>
      </w:r>
      <w:r>
        <w:rPr>
          <w:rFonts w:hint="eastAsia" w:ascii="宋体" w:hAnsi="宋体"/>
          <w:color w:val="000000"/>
          <w:sz w:val="24"/>
        </w:rPr>
        <w:t>分。</w:t>
      </w:r>
      <w:r>
        <w:rPr>
          <w:rFonts w:hint="eastAsia" w:ascii="宋体" w:hAnsi="宋体"/>
          <w:color w:val="000000"/>
          <w:sz w:val="24"/>
          <w:lang w:val="en-US" w:eastAsia="zh-CN"/>
        </w:rPr>
        <w:t>加“</w:t>
      </w:r>
      <w:r>
        <w:rPr>
          <w:rFonts w:hint="eastAsia" w:ascii="宋体" w:hAnsi="宋体"/>
          <w:b/>
          <w:color w:val="000000"/>
          <w:sz w:val="18"/>
          <w:szCs w:val="18"/>
        </w:rPr>
        <w:t>★</w:t>
      </w:r>
      <w:r>
        <w:rPr>
          <w:rFonts w:hint="eastAsia" w:ascii="宋体" w:hAnsi="宋体"/>
          <w:color w:val="000000"/>
          <w:sz w:val="24"/>
          <w:lang w:val="en-US" w:eastAsia="zh-CN"/>
        </w:rPr>
        <w:t>”项参数</w:t>
      </w:r>
      <w:r>
        <w:rPr>
          <w:rFonts w:hint="eastAsia" w:ascii="宋体" w:hAnsi="宋体"/>
          <w:color w:val="000000"/>
          <w:sz w:val="24"/>
        </w:rPr>
        <w:t>有</w:t>
      </w:r>
      <w:r>
        <w:rPr>
          <w:rFonts w:hint="eastAsia" w:ascii="宋体" w:hAnsi="宋体"/>
          <w:color w:val="000000"/>
          <w:sz w:val="24"/>
          <w:lang w:val="en-US" w:eastAsia="zh-CN"/>
        </w:rPr>
        <w:t>一</w:t>
      </w:r>
      <w:r>
        <w:rPr>
          <w:rFonts w:hint="eastAsia" w:ascii="宋体" w:hAnsi="宋体"/>
          <w:color w:val="000000"/>
          <w:sz w:val="24"/>
        </w:rPr>
        <w:t>项负偏离本大项不得分。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3.售后服务（20分）</w:t>
      </w:r>
    </w:p>
    <w:p>
      <w:pPr>
        <w:snapToGrid w:val="0"/>
        <w:spacing w:beforeLines="50" w:afterLines="50" w:line="360" w:lineRule="exact"/>
        <w:ind w:firstLine="480" w:firstLineChars="200"/>
        <w:rPr>
          <w:rFonts w:ascii="宋体" w:hAnsi="宋体"/>
          <w:sz w:val="24"/>
        </w:rPr>
      </w:pPr>
      <w:r>
        <w:rPr>
          <w:rFonts w:hint="eastAsia" w:ascii="宋体" w:hAnsi="宋体"/>
          <w:sz w:val="24"/>
        </w:rPr>
        <w:t>（1）免费质保及维保期内及期后服务方案：如服务体系、服务内容、故障解决方案等，最优的得5分；</w:t>
      </w:r>
    </w:p>
    <w:p>
      <w:pPr>
        <w:snapToGrid w:val="0"/>
        <w:spacing w:beforeLines="50" w:afterLines="50" w:line="36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）免费质保期满足招标文件需求，得3分；免费维保期每延长1年，加2分，最高加4分；本项最高得7分。</w:t>
      </w:r>
    </w:p>
    <w:p>
      <w:pPr>
        <w:snapToGrid w:val="0"/>
        <w:spacing w:beforeLines="50" w:afterLines="50" w:line="360" w:lineRule="exact"/>
        <w:ind w:firstLine="480" w:firstLineChars="200"/>
        <w:rPr>
          <w:rFonts w:ascii="宋体" w:hAnsi="宋体"/>
          <w:bCs/>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bCs/>
          <w:sz w:val="24"/>
        </w:rPr>
        <w:t>维修响应时间4分。</w:t>
      </w:r>
      <w:r>
        <w:rPr>
          <w:rFonts w:ascii="宋体" w:hAnsi="宋体"/>
          <w:bCs/>
          <w:sz w:val="24"/>
        </w:rPr>
        <w:t>承诺接到采购人关于设备发生故障的通知后1小时内应答，应答后24小时内抵达现场得</w:t>
      </w:r>
      <w:r>
        <w:rPr>
          <w:rFonts w:hint="eastAsia" w:ascii="宋体" w:hAnsi="宋体"/>
          <w:bCs/>
          <w:sz w:val="24"/>
        </w:rPr>
        <w:t>2分，12小时内抵达现场得3-4分，未响应的不得分。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）免费质保及维保期结束后，继续提供优惠维修及更换损坏配件的，维修及配件（原配件）费用报价优惠合理的得4分。</w:t>
      </w:r>
    </w:p>
    <w:p>
      <w:pPr>
        <w:snapToGrid w:val="0"/>
        <w:spacing w:line="360" w:lineRule="auto"/>
        <w:ind w:firstLine="480" w:firstLineChars="200"/>
        <w:rPr>
          <w:rFonts w:ascii="宋?"/>
          <w:bCs/>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r>
        <w:rPr>
          <w:rFonts w:hint="eastAsia" w:ascii="宋?" w:hAnsi="宋?"/>
          <w:bCs/>
          <w:sz w:val="24"/>
        </w:rPr>
        <w:t>供</w:t>
      </w:r>
      <w:r>
        <w:rPr>
          <w:rFonts w:hint="eastAsia" w:ascii="宋体" w:hAnsi="宋体" w:eastAsia="宋体" w:cs="宋体"/>
          <w:bCs/>
          <w:sz w:val="24"/>
        </w:rPr>
        <w:t>货</w:t>
      </w:r>
      <w:r>
        <w:rPr>
          <w:rFonts w:hint="eastAsia" w:ascii="宋?" w:hAnsi="宋?"/>
          <w:bCs/>
          <w:sz w:val="24"/>
        </w:rPr>
        <w:t>及完成安</w:t>
      </w:r>
      <w:r>
        <w:rPr>
          <w:rFonts w:hint="eastAsia" w:ascii="宋体" w:hAnsi="宋体" w:eastAsia="宋体" w:cs="宋体"/>
          <w:bCs/>
          <w:sz w:val="24"/>
        </w:rPr>
        <w:t>装时间</w:t>
      </w:r>
      <w:r>
        <w:rPr>
          <w:rFonts w:hint="eastAsia" w:ascii="宋?" w:hAnsi="宋?"/>
          <w:bCs/>
          <w:sz w:val="24"/>
        </w:rPr>
        <w:t>：</w:t>
      </w:r>
      <w:r>
        <w:rPr>
          <w:rFonts w:hint="eastAsia" w:ascii="宋体" w:hAnsi="宋体" w:eastAsia="宋体" w:cs="宋体"/>
          <w:bCs/>
          <w:sz w:val="24"/>
        </w:rPr>
        <w:t>满</w:t>
      </w:r>
      <w:r>
        <w:rPr>
          <w:rFonts w:hint="eastAsia" w:ascii="宋?" w:hAnsi="宋?"/>
          <w:bCs/>
          <w:sz w:val="24"/>
        </w:rPr>
        <w:t>足采</w:t>
      </w:r>
      <w:r>
        <w:rPr>
          <w:rFonts w:hint="eastAsia" w:ascii="宋体" w:hAnsi="宋体" w:eastAsia="宋体" w:cs="宋体"/>
          <w:bCs/>
          <w:sz w:val="24"/>
        </w:rPr>
        <w:t>购</w:t>
      </w:r>
      <w:r>
        <w:rPr>
          <w:rFonts w:hint="eastAsia" w:ascii="宋?" w:hAnsi="宋?"/>
          <w:bCs/>
          <w:sz w:val="24"/>
        </w:rPr>
        <w:t>文件</w:t>
      </w:r>
      <w:r>
        <w:rPr>
          <w:rFonts w:hint="eastAsia" w:ascii="宋体" w:hAnsi="宋体" w:eastAsia="宋体" w:cs="宋体"/>
          <w:bCs/>
          <w:sz w:val="24"/>
        </w:rPr>
        <w:t>时间</w:t>
      </w:r>
      <w:r>
        <w:rPr>
          <w:rFonts w:hint="eastAsia" w:ascii="宋?" w:hAnsi="宋?"/>
          <w:bCs/>
          <w:sz w:val="24"/>
        </w:rPr>
        <w:t>要求，提供</w:t>
      </w:r>
      <w:r>
        <w:rPr>
          <w:rFonts w:hint="eastAsia" w:ascii="宋体" w:hAnsi="宋体" w:eastAsia="宋体" w:cs="宋体"/>
          <w:bCs/>
          <w:sz w:val="24"/>
        </w:rPr>
        <w:t>书</w:t>
      </w:r>
      <w:r>
        <w:rPr>
          <w:rFonts w:hint="eastAsia" w:ascii="宋?" w:hAnsi="宋?"/>
          <w:bCs/>
          <w:sz w:val="24"/>
        </w:rPr>
        <w:t>面承</w:t>
      </w:r>
      <w:r>
        <w:rPr>
          <w:rFonts w:hint="eastAsia" w:ascii="宋体" w:hAnsi="宋体" w:eastAsia="宋体" w:cs="宋体"/>
          <w:bCs/>
          <w:sz w:val="24"/>
        </w:rPr>
        <w:t>诺</w:t>
      </w:r>
      <w:r>
        <w:rPr>
          <w:rFonts w:hint="eastAsia" w:ascii="宋?" w:hAnsi="宋?"/>
          <w:bCs/>
          <w:sz w:val="24"/>
        </w:rPr>
        <w:t>得</w:t>
      </w:r>
      <w:r>
        <w:rPr>
          <w:rFonts w:ascii="宋?" w:hAnsi="宋?"/>
          <w:bCs/>
          <w:sz w:val="24"/>
        </w:rPr>
        <w:t>6</w:t>
      </w:r>
      <w:r>
        <w:rPr>
          <w:rFonts w:hint="eastAsia" w:ascii="宋?" w:hAnsi="宋?"/>
          <w:bCs/>
          <w:sz w:val="24"/>
        </w:rPr>
        <w:t>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 xml:space="preserve"> 4.投标人履行合同的能力及业绩（1</w:t>
      </w:r>
      <w:r>
        <w:rPr>
          <w:rFonts w:hint="eastAsia" w:ascii="宋体" w:hAnsi="宋体"/>
          <w:b/>
          <w:sz w:val="24"/>
          <w:lang w:val="en-US" w:eastAsia="zh-CN"/>
        </w:rPr>
        <w:t>5</w:t>
      </w:r>
      <w:r>
        <w:rPr>
          <w:rFonts w:hint="eastAsia" w:ascii="宋体" w:hAnsi="宋体"/>
          <w:b/>
          <w:sz w:val="24"/>
        </w:rPr>
        <w:t xml:space="preserve">分）        </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sz w:val="24"/>
        </w:rPr>
      </w:pPr>
      <w:r>
        <w:rPr>
          <w:rFonts w:hint="eastAsia" w:ascii="宋体" w:hAnsi="宋体"/>
          <w:sz w:val="24"/>
        </w:rPr>
        <w:t>（1）主要对投标人的资质情况、银行资信、经营状况等进行评价。（</w:t>
      </w:r>
      <w:r>
        <w:rPr>
          <w:rFonts w:hint="eastAsia" w:ascii="宋体" w:hAnsi="宋体"/>
          <w:sz w:val="24"/>
          <w:lang w:val="en-US" w:eastAsia="zh-CN"/>
        </w:rPr>
        <w:t>5</w:t>
      </w:r>
      <w:r>
        <w:rPr>
          <w:rFonts w:hint="eastAsia" w:ascii="宋体" w:hAnsi="宋体"/>
          <w:sz w:val="24"/>
        </w:rPr>
        <w:t>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b/>
          <w:bCs/>
          <w:sz w:val="24"/>
          <w:szCs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bCs/>
          <w:sz w:val="24"/>
          <w:szCs w:val="24"/>
        </w:rPr>
        <w:t>至</w:t>
      </w:r>
      <w:r>
        <w:rPr>
          <w:rFonts w:ascii="宋体" w:hAnsi="宋体"/>
          <w:bCs/>
          <w:sz w:val="24"/>
          <w:szCs w:val="24"/>
        </w:rPr>
        <w:t>本项目投标截止日期止</w:t>
      </w:r>
      <w:r>
        <w:rPr>
          <w:rFonts w:hint="eastAsia" w:hAnsi="宋体"/>
          <w:sz w:val="24"/>
        </w:rPr>
        <w:t>三年内</w:t>
      </w:r>
      <w:r>
        <w:rPr>
          <w:rFonts w:hint="eastAsia" w:ascii="宋体" w:hAnsi="宋体"/>
          <w:bCs/>
          <w:sz w:val="24"/>
          <w:szCs w:val="24"/>
        </w:rPr>
        <w:t>有类似产品业绩</w:t>
      </w:r>
      <w:r>
        <w:rPr>
          <w:rFonts w:hint="eastAsia" w:hAnsi="宋体"/>
          <w:sz w:val="24"/>
        </w:rPr>
        <w:t>每个合同得（提供复印件即可，原件备查）2分，最高</w:t>
      </w:r>
      <w:r>
        <w:rPr>
          <w:rFonts w:hint="eastAsia" w:hAnsi="宋体"/>
          <w:sz w:val="24"/>
          <w:lang w:val="en-US" w:eastAsia="zh-CN"/>
        </w:rPr>
        <w:t>10</w:t>
      </w:r>
      <w:r>
        <w:rPr>
          <w:rFonts w:hint="eastAsia" w:hAnsi="宋体"/>
          <w:sz w:val="24"/>
        </w:rPr>
        <w:t>分。(</w:t>
      </w:r>
      <w:r>
        <w:rPr>
          <w:rFonts w:hint="eastAsia" w:hAnsi="宋体"/>
          <w:sz w:val="24"/>
          <w:lang w:val="en-US" w:eastAsia="zh-CN"/>
        </w:rPr>
        <w:t>10</w:t>
      </w:r>
      <w:r>
        <w:rPr>
          <w:rFonts w:hint="eastAsia" w:hAnsi="宋体"/>
          <w:sz w:val="24"/>
        </w:rPr>
        <w:t>分)</w:t>
      </w: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pStyle w:val="10"/>
        <w:jc w:val="center"/>
        <w:rPr>
          <w:b/>
          <w:sz w:val="44"/>
          <w:szCs w:val="44"/>
        </w:rPr>
      </w:pPr>
      <w:r>
        <w:rPr>
          <w:rFonts w:hint="eastAsia"/>
          <w:b/>
          <w:sz w:val="44"/>
          <w:szCs w:val="44"/>
        </w:rPr>
        <w:t>第六章  投标文件格式</w:t>
      </w:r>
    </w:p>
    <w:p>
      <w:pPr>
        <w:jc w:val="center"/>
        <w:rPr>
          <w:rFonts w:ascii="宋体" w:hAnsi="宋体" w:cs="宋体"/>
          <w:b/>
          <w:sz w:val="72"/>
        </w:rPr>
      </w:pPr>
      <w:bookmarkStart w:id="30" w:name="_Hlt26955039"/>
      <w:bookmarkEnd w:id="30"/>
      <w:bookmarkStart w:id="31" w:name="_Hlt26671244"/>
      <w:bookmarkEnd w:id="31"/>
      <w:bookmarkStart w:id="32" w:name="_Toc120614282"/>
      <w:bookmarkStart w:id="33" w:name="_Toc49090576"/>
      <w:bookmarkStart w:id="34" w:name="_Toc26554094"/>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u w:val="single"/>
        </w:rPr>
      </w:pPr>
      <w:r>
        <w:rPr>
          <w:rFonts w:hint="eastAsia" w:ascii="宋体" w:hAnsi="宋体" w:cs="宋体"/>
          <w:b/>
          <w:sz w:val="36"/>
        </w:rPr>
        <w:t>投标人名称 ：</w:t>
      </w:r>
    </w:p>
    <w:p>
      <w:pPr>
        <w:jc w:val="center"/>
        <w:rPr>
          <w:rFonts w:ascii="宋体" w:hAnsi="宋体" w:cs="宋体"/>
          <w:b/>
          <w:sz w:val="36"/>
        </w:rPr>
      </w:pPr>
      <w:r>
        <w:rPr>
          <w:rFonts w:hint="eastAsia" w:ascii="宋体" w:hAnsi="宋体" w:cs="宋体"/>
          <w:b/>
          <w:sz w:val="36"/>
        </w:rPr>
        <w:t>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rPr>
          <w:rFonts w:ascii="宋体" w:hAnsi="宋体" w:cs="宋体"/>
          <w:sz w:val="24"/>
        </w:rPr>
      </w:pPr>
    </w:p>
    <w:bookmarkEnd w:id="32"/>
    <w:bookmarkEnd w:id="33"/>
    <w:bookmarkEnd w:id="34"/>
    <w:p>
      <w:pPr>
        <w:pStyle w:val="5"/>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30"/>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根据贵方的项目编号为采购文件，正式授权下述签字人_____________________(姓名和职务)代表我方____________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30"/>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30"/>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30"/>
        <w:spacing w:before="0" w:after="0" w:line="420" w:lineRule="exact"/>
        <w:rPr>
          <w:rFonts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30"/>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30"/>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9.与本投标有关的正式通讯地址为：</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jc w:val="center"/>
        <w:rPr>
          <w:rFonts w:ascii="宋体" w:hAnsi="宋体" w:cs="宋体"/>
          <w:b/>
          <w:bCs/>
          <w:sz w:val="24"/>
        </w:rPr>
      </w:pPr>
      <w:bookmarkStart w:id="35" w:name="_Toc462564147"/>
      <w:bookmarkStart w:id="36"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10"/>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31"/>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31"/>
        <w:rPr>
          <w:rFonts w:ascii="宋体" w:hAnsi="宋体" w:cs="宋体"/>
        </w:rPr>
      </w:pPr>
    </w:p>
    <w:p>
      <w:pPr>
        <w:pStyle w:val="7"/>
        <w:jc w:val="center"/>
        <w:rPr>
          <w:rFonts w:ascii="宋体" w:hAnsi="宋体" w:cs="宋体"/>
          <w:bCs w:val="0"/>
        </w:rPr>
      </w:pPr>
      <w:r>
        <w:rPr>
          <w:rFonts w:hint="eastAsia" w:ascii="宋体" w:hAnsi="宋体" w:cs="宋体"/>
        </w:rPr>
        <w:br w:type="page"/>
      </w:r>
      <w:bookmarkEnd w:id="35"/>
      <w:bookmarkStart w:id="37" w:name="_格式3__银行出具的资信证明"/>
      <w:bookmarkEnd w:id="37"/>
      <w:bookmarkStart w:id="38" w:name="_Hlt26955070"/>
      <w:bookmarkEnd w:id="38"/>
      <w:bookmarkStart w:id="39" w:name="_Hlt26671380"/>
      <w:bookmarkEnd w:id="39"/>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6"/>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投标人全称（公章):                       项目名称：</w:t>
      </w:r>
    </w:p>
    <w:tbl>
      <w:tblPr>
        <w:tblStyle w:val="16"/>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36"/>
      <w:bookmarkStart w:id="40" w:name="_Hlt26955054"/>
      <w:bookmarkEnd w:id="40"/>
      <w:r>
        <w:rPr>
          <w:rFonts w:hint="eastAsia" w:ascii="宋体" w:hAnsi="宋体" w:cs="宋体"/>
          <w:b/>
          <w:sz w:val="32"/>
          <w:szCs w:val="32"/>
        </w:rPr>
        <w:t>六、</w:t>
      </w:r>
      <w:bookmarkStart w:id="41" w:name="_格式2__法定代表人授权书"/>
      <w:bookmarkEnd w:id="41"/>
      <w:bookmarkStart w:id="42" w:name="_Toc26554095"/>
      <w:bookmarkStart w:id="43" w:name="_Toc513029276"/>
      <w:bookmarkStart w:id="44" w:name="_Toc23828478"/>
      <w:bookmarkStart w:id="45" w:name="_Toc460901585"/>
      <w:bookmarkStart w:id="46" w:name="_Toc22356580"/>
      <w:bookmarkStart w:id="47" w:name="_Toc49090577"/>
      <w:bookmarkStart w:id="48" w:name="_Toc120614283"/>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6"/>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序号</w:t>
            </w:r>
          </w:p>
        </w:tc>
        <w:tc>
          <w:tcPr>
            <w:tcW w:w="2976" w:type="dxa"/>
            <w:vAlign w:val="center"/>
          </w:tcPr>
          <w:p>
            <w:pPr>
              <w:pStyle w:val="29"/>
              <w:ind w:left="420"/>
              <w:jc w:val="center"/>
              <w:rPr>
                <w:rFonts w:hAnsi="宋体"/>
                <w:color w:val="auto"/>
              </w:rPr>
            </w:pPr>
            <w:r>
              <w:rPr>
                <w:rFonts w:hint="eastAsia" w:hAnsi="宋体"/>
                <w:color w:val="auto"/>
              </w:rPr>
              <w:t>项目</w:t>
            </w:r>
          </w:p>
        </w:tc>
        <w:tc>
          <w:tcPr>
            <w:tcW w:w="1985" w:type="dxa"/>
            <w:vAlign w:val="center"/>
          </w:tcPr>
          <w:p>
            <w:pPr>
              <w:pStyle w:val="29"/>
              <w:ind w:left="420"/>
              <w:jc w:val="center"/>
              <w:rPr>
                <w:rFonts w:hAnsi="宋体"/>
                <w:color w:val="auto"/>
              </w:rPr>
            </w:pPr>
            <w:r>
              <w:rPr>
                <w:rFonts w:hint="eastAsia" w:hAnsi="宋体"/>
                <w:color w:val="auto"/>
              </w:rPr>
              <w:t>采购文件中主要商务条款的描述</w:t>
            </w:r>
          </w:p>
        </w:tc>
        <w:tc>
          <w:tcPr>
            <w:tcW w:w="1843" w:type="dxa"/>
            <w:vAlign w:val="center"/>
          </w:tcPr>
          <w:p>
            <w:pPr>
              <w:pStyle w:val="29"/>
              <w:ind w:left="420"/>
              <w:jc w:val="center"/>
              <w:rPr>
                <w:rFonts w:hAnsi="宋体"/>
                <w:color w:val="auto"/>
              </w:rPr>
            </w:pPr>
            <w:r>
              <w:rPr>
                <w:rFonts w:hint="eastAsia" w:hAnsi="宋体"/>
                <w:color w:val="auto"/>
              </w:rPr>
              <w:t>投标供应商的承诺或说明</w:t>
            </w:r>
          </w:p>
        </w:tc>
        <w:tc>
          <w:tcPr>
            <w:tcW w:w="1687" w:type="dxa"/>
            <w:vAlign w:val="center"/>
          </w:tcPr>
          <w:p>
            <w:pPr>
              <w:pStyle w:val="29"/>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1</w:t>
            </w:r>
          </w:p>
        </w:tc>
        <w:tc>
          <w:tcPr>
            <w:tcW w:w="2976" w:type="dxa"/>
            <w:vAlign w:val="center"/>
          </w:tcPr>
          <w:p>
            <w:pPr>
              <w:pStyle w:val="29"/>
              <w:ind w:left="420"/>
              <w:jc w:val="center"/>
              <w:rPr>
                <w:rFonts w:hAnsi="宋体"/>
                <w:color w:val="auto"/>
              </w:rPr>
            </w:pPr>
            <w:r>
              <w:rPr>
                <w:rFonts w:hint="eastAsia" w:hAnsi="宋体"/>
                <w:color w:val="auto"/>
              </w:rPr>
              <w:t>质保期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2</w:t>
            </w:r>
          </w:p>
        </w:tc>
        <w:tc>
          <w:tcPr>
            <w:tcW w:w="2976" w:type="dxa"/>
            <w:vAlign w:val="center"/>
          </w:tcPr>
          <w:p>
            <w:pPr>
              <w:pStyle w:val="29"/>
              <w:ind w:left="420"/>
              <w:jc w:val="center"/>
              <w:rPr>
                <w:rFonts w:hAnsi="宋体"/>
                <w:color w:val="auto"/>
              </w:rPr>
            </w:pPr>
            <w:r>
              <w:rPr>
                <w:rFonts w:hint="eastAsia" w:hAnsi="宋体"/>
                <w:color w:val="auto"/>
              </w:rPr>
              <w:t>售后技术服务要求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3</w:t>
            </w:r>
          </w:p>
        </w:tc>
        <w:tc>
          <w:tcPr>
            <w:tcW w:w="2976" w:type="dxa"/>
            <w:vAlign w:val="center"/>
          </w:tcPr>
          <w:p>
            <w:pPr>
              <w:pStyle w:val="29"/>
              <w:ind w:left="420"/>
              <w:jc w:val="center"/>
              <w:rPr>
                <w:rFonts w:hAnsi="宋体"/>
                <w:color w:val="auto"/>
              </w:rPr>
            </w:pPr>
            <w:r>
              <w:rPr>
                <w:rFonts w:hint="eastAsia" w:hAnsi="宋体"/>
                <w:color w:val="auto"/>
              </w:rPr>
              <w:t>供货期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4</w:t>
            </w:r>
          </w:p>
        </w:tc>
        <w:tc>
          <w:tcPr>
            <w:tcW w:w="2976" w:type="dxa"/>
            <w:vAlign w:val="center"/>
          </w:tcPr>
          <w:p>
            <w:pPr>
              <w:pStyle w:val="29"/>
              <w:ind w:left="420"/>
              <w:jc w:val="center"/>
              <w:rPr>
                <w:rFonts w:hAnsi="宋体"/>
                <w:color w:val="auto"/>
              </w:rPr>
            </w:pPr>
            <w:r>
              <w:rPr>
                <w:rFonts w:hint="eastAsia" w:hAnsi="宋体"/>
                <w:color w:val="auto"/>
              </w:rPr>
              <w:t>交货方式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5</w:t>
            </w:r>
          </w:p>
        </w:tc>
        <w:tc>
          <w:tcPr>
            <w:tcW w:w="2976" w:type="dxa"/>
            <w:vAlign w:val="center"/>
          </w:tcPr>
          <w:p>
            <w:pPr>
              <w:pStyle w:val="29"/>
              <w:ind w:left="420"/>
              <w:jc w:val="center"/>
              <w:rPr>
                <w:rFonts w:hAnsi="宋体"/>
                <w:color w:val="auto"/>
              </w:rPr>
            </w:pPr>
            <w:r>
              <w:rPr>
                <w:rFonts w:hint="eastAsia" w:hAnsi="宋体"/>
                <w:color w:val="auto"/>
              </w:rPr>
              <w:t>付款方式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6</w:t>
            </w:r>
          </w:p>
        </w:tc>
        <w:tc>
          <w:tcPr>
            <w:tcW w:w="2976" w:type="dxa"/>
            <w:vAlign w:val="center"/>
          </w:tcPr>
          <w:p>
            <w:pPr>
              <w:pStyle w:val="29"/>
              <w:ind w:left="420"/>
              <w:jc w:val="center"/>
              <w:rPr>
                <w:rFonts w:hAnsi="宋体"/>
                <w:color w:val="auto"/>
              </w:rPr>
            </w:pPr>
            <w:r>
              <w:rPr>
                <w:rFonts w:hint="eastAsia" w:hAnsi="宋体"/>
                <w:color w:val="auto"/>
              </w:rPr>
              <w:t>投标货币</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7</w:t>
            </w:r>
          </w:p>
        </w:tc>
        <w:tc>
          <w:tcPr>
            <w:tcW w:w="2976" w:type="dxa"/>
            <w:vAlign w:val="center"/>
          </w:tcPr>
          <w:p>
            <w:pPr>
              <w:pStyle w:val="29"/>
              <w:ind w:left="420"/>
              <w:jc w:val="center"/>
              <w:rPr>
                <w:rFonts w:hAnsi="宋体"/>
                <w:color w:val="auto"/>
              </w:rPr>
            </w:pPr>
            <w:r>
              <w:rPr>
                <w:rFonts w:hint="eastAsia" w:hAnsi="宋体"/>
                <w:color w:val="auto"/>
              </w:rPr>
              <w:t>备品备件及耗材等要求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8</w:t>
            </w:r>
          </w:p>
        </w:tc>
        <w:tc>
          <w:tcPr>
            <w:tcW w:w="2976" w:type="dxa"/>
            <w:vAlign w:val="center"/>
          </w:tcPr>
          <w:p>
            <w:pPr>
              <w:pStyle w:val="29"/>
              <w:ind w:left="420"/>
              <w:jc w:val="center"/>
              <w:rPr>
                <w:rFonts w:hAnsi="宋体"/>
                <w:color w:val="auto"/>
              </w:rPr>
            </w:pPr>
            <w:r>
              <w:rPr>
                <w:rFonts w:hint="eastAsia" w:hAnsi="宋体"/>
                <w:color w:val="auto"/>
              </w:rPr>
              <w:t>培训方式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p>
        </w:tc>
        <w:tc>
          <w:tcPr>
            <w:tcW w:w="2976" w:type="dxa"/>
            <w:vAlign w:val="center"/>
          </w:tcPr>
          <w:p>
            <w:pPr>
              <w:pStyle w:val="29"/>
              <w:ind w:left="420"/>
              <w:jc w:val="center"/>
              <w:rPr>
                <w:rFonts w:hAnsi="宋体"/>
                <w:color w:val="auto"/>
              </w:rPr>
            </w:pP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bl>
    <w:p>
      <w:pPr>
        <w:pStyle w:val="29"/>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9"/>
        <w:spacing w:line="360" w:lineRule="exact"/>
        <w:ind w:left="420"/>
        <w:rPr>
          <w:rFonts w:hAnsi="宋体"/>
          <w:color w:val="auto"/>
        </w:rPr>
      </w:pPr>
      <w:r>
        <w:rPr>
          <w:rFonts w:hint="eastAsia" w:hAnsi="宋体"/>
          <w:color w:val="auto"/>
        </w:rPr>
        <w:t>注：</w:t>
      </w:r>
    </w:p>
    <w:p>
      <w:pPr>
        <w:pStyle w:val="29"/>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9"/>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9"/>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9"/>
        <w:spacing w:line="360" w:lineRule="exact"/>
        <w:ind w:left="420" w:firstLine="480" w:firstLineChars="200"/>
        <w:rPr>
          <w:rFonts w:hAnsi="宋体"/>
          <w:color w:val="auto"/>
        </w:rPr>
      </w:pPr>
      <w:r>
        <w:rPr>
          <w:rFonts w:hint="eastAsia" w:hAnsi="宋体"/>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2"/>
    <w:bookmarkEnd w:id="43"/>
    <w:bookmarkEnd w:id="44"/>
    <w:bookmarkEnd w:id="45"/>
    <w:bookmarkEnd w:id="46"/>
    <w:bookmarkEnd w:id="47"/>
    <w:bookmarkEnd w:id="48"/>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49" w:name="_Hlt26955041"/>
      <w:bookmarkEnd w:id="49"/>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sectPr>
      <w:pgSz w:w="11906" w:h="16838"/>
      <w:pgMar w:top="1440" w:right="1077" w:bottom="1440" w:left="1077" w:header="851" w:footer="907" w:gutter="0"/>
      <w:pgNumType w:fmt="decimal"/>
      <w:cols w:space="720" w:num="1"/>
      <w:titlePg/>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00007A87" w:usb1="80000000" w:usb2="00000008" w:usb3="00000000" w:csb0="400001FF" w:csb1="FFFF0000"/>
  </w:font>
  <w:font w:name="宋体">
    <w:panose1 w:val="02010600030101010101"/>
    <w:charset w:val="81"/>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61007A87" w:usb1="80000000" w:usb2="00000008" w:usb3="00000000" w:csb0="200101FF" w:csb1="20280000"/>
  </w:font>
  <w:font w:name="宋?">
    <w:altName w:val="宋体"/>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7" o:spid="_x0000_s1025" o:spt="202" type="#_x0000_t202" style="position:absolute;left:0pt;margin-top:0pt;height:10.35pt;width:4.55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 w:val="clear" w:pos="8306"/>
      </w:tabs>
      <w:rPr>
        <w:b/>
        <w:i/>
      </w:rPr>
    </w:pPr>
    <w:r>
      <w:rPr>
        <w:sz w:val="20"/>
      </w:rPr>
      <w:pict>
        <v:shape id="文本框 6" o:spid="_x0000_s1026" o:spt="202" type="#_x0000_t202" style="position:absolute;left:0pt;margin-top:14.25pt;height:20.7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w:r>
    <w:r>
      <w:rPr>
        <w:b/>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4" o:spid="_x0000_s1029" o:spt="202" type="#_x0000_t202" style="position:absolute;left:0pt;margin-top:0pt;height:10.35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28E7"/>
    <w:multiLevelType w:val="multilevel"/>
    <w:tmpl w:val="395B28E7"/>
    <w:lvl w:ilvl="0" w:tentative="0">
      <w:start w:val="1"/>
      <w:numFmt w:val="japaneseCounting"/>
      <w:lvlText w:val="%1、"/>
      <w:lvlJc w:val="left"/>
      <w:pPr>
        <w:ind w:left="510" w:hanging="510"/>
      </w:pPr>
      <w:rPr>
        <w:rFonts w:hint="default"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AF0217"/>
    <w:multiLevelType w:val="multilevel"/>
    <w:tmpl w:val="49AF0217"/>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2"/>
    <w:lvlOverride w:ilvl="0">
      <w:startOverride w:val="1"/>
    </w:lvlOverride>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45"/>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24AB"/>
    <w:rsid w:val="00011759"/>
    <w:rsid w:val="0003306C"/>
    <w:rsid w:val="00040340"/>
    <w:rsid w:val="00062020"/>
    <w:rsid w:val="00072DCA"/>
    <w:rsid w:val="00080104"/>
    <w:rsid w:val="00080AB0"/>
    <w:rsid w:val="00091EC2"/>
    <w:rsid w:val="00097893"/>
    <w:rsid w:val="000A0FEC"/>
    <w:rsid w:val="000B00C9"/>
    <w:rsid w:val="000B0947"/>
    <w:rsid w:val="000B384E"/>
    <w:rsid w:val="000B74E8"/>
    <w:rsid w:val="000C0D89"/>
    <w:rsid w:val="000C1A8D"/>
    <w:rsid w:val="000D17E1"/>
    <w:rsid w:val="000D4C88"/>
    <w:rsid w:val="000D4D3C"/>
    <w:rsid w:val="00100B40"/>
    <w:rsid w:val="00104327"/>
    <w:rsid w:val="001207E4"/>
    <w:rsid w:val="001229B1"/>
    <w:rsid w:val="00144D9B"/>
    <w:rsid w:val="00146B44"/>
    <w:rsid w:val="00146C36"/>
    <w:rsid w:val="00153938"/>
    <w:rsid w:val="0015566D"/>
    <w:rsid w:val="001564F2"/>
    <w:rsid w:val="00162196"/>
    <w:rsid w:val="00183BEC"/>
    <w:rsid w:val="00191486"/>
    <w:rsid w:val="001930C8"/>
    <w:rsid w:val="00193550"/>
    <w:rsid w:val="001A0EB9"/>
    <w:rsid w:val="001A10F9"/>
    <w:rsid w:val="001A32BF"/>
    <w:rsid w:val="001B5D14"/>
    <w:rsid w:val="001E2387"/>
    <w:rsid w:val="001F38F6"/>
    <w:rsid w:val="00201CCF"/>
    <w:rsid w:val="00205604"/>
    <w:rsid w:val="002057E3"/>
    <w:rsid w:val="002101C5"/>
    <w:rsid w:val="0021786E"/>
    <w:rsid w:val="002266A1"/>
    <w:rsid w:val="00234B03"/>
    <w:rsid w:val="00236389"/>
    <w:rsid w:val="00236C95"/>
    <w:rsid w:val="00247CB0"/>
    <w:rsid w:val="00252DF0"/>
    <w:rsid w:val="0027214F"/>
    <w:rsid w:val="002731A4"/>
    <w:rsid w:val="00277AD8"/>
    <w:rsid w:val="002823BA"/>
    <w:rsid w:val="00290A13"/>
    <w:rsid w:val="00291F6D"/>
    <w:rsid w:val="002A42A5"/>
    <w:rsid w:val="002A7982"/>
    <w:rsid w:val="002B2ECA"/>
    <w:rsid w:val="002B3018"/>
    <w:rsid w:val="002B64D1"/>
    <w:rsid w:val="002C7445"/>
    <w:rsid w:val="002D1C38"/>
    <w:rsid w:val="002D5357"/>
    <w:rsid w:val="002E204B"/>
    <w:rsid w:val="002E4BC9"/>
    <w:rsid w:val="002F1D43"/>
    <w:rsid w:val="00301EF9"/>
    <w:rsid w:val="003035DF"/>
    <w:rsid w:val="00303A36"/>
    <w:rsid w:val="00316255"/>
    <w:rsid w:val="003221F4"/>
    <w:rsid w:val="003313E5"/>
    <w:rsid w:val="00333CD7"/>
    <w:rsid w:val="003414C3"/>
    <w:rsid w:val="003571A9"/>
    <w:rsid w:val="00365302"/>
    <w:rsid w:val="0036707D"/>
    <w:rsid w:val="00374CBD"/>
    <w:rsid w:val="00384ED8"/>
    <w:rsid w:val="0039133A"/>
    <w:rsid w:val="003C41DB"/>
    <w:rsid w:val="003C55E7"/>
    <w:rsid w:val="003D67AD"/>
    <w:rsid w:val="003E4BBD"/>
    <w:rsid w:val="003F1937"/>
    <w:rsid w:val="003F5201"/>
    <w:rsid w:val="00401466"/>
    <w:rsid w:val="0040177F"/>
    <w:rsid w:val="00402427"/>
    <w:rsid w:val="00421975"/>
    <w:rsid w:val="00422B20"/>
    <w:rsid w:val="00423E4F"/>
    <w:rsid w:val="00426B51"/>
    <w:rsid w:val="00436207"/>
    <w:rsid w:val="004400EF"/>
    <w:rsid w:val="00453252"/>
    <w:rsid w:val="00473F95"/>
    <w:rsid w:val="00482B43"/>
    <w:rsid w:val="00483350"/>
    <w:rsid w:val="00484BFD"/>
    <w:rsid w:val="00491D03"/>
    <w:rsid w:val="004C222A"/>
    <w:rsid w:val="004C4E45"/>
    <w:rsid w:val="004C5684"/>
    <w:rsid w:val="004E73DF"/>
    <w:rsid w:val="00506806"/>
    <w:rsid w:val="005128C4"/>
    <w:rsid w:val="005228EA"/>
    <w:rsid w:val="00534E86"/>
    <w:rsid w:val="00540004"/>
    <w:rsid w:val="005436B7"/>
    <w:rsid w:val="0056177C"/>
    <w:rsid w:val="0056372B"/>
    <w:rsid w:val="00563E44"/>
    <w:rsid w:val="005644CD"/>
    <w:rsid w:val="005737A2"/>
    <w:rsid w:val="005740E5"/>
    <w:rsid w:val="0057615F"/>
    <w:rsid w:val="005875E6"/>
    <w:rsid w:val="00593491"/>
    <w:rsid w:val="005A359F"/>
    <w:rsid w:val="005A5E16"/>
    <w:rsid w:val="005A660E"/>
    <w:rsid w:val="005A69B8"/>
    <w:rsid w:val="005A77E1"/>
    <w:rsid w:val="005C0FAE"/>
    <w:rsid w:val="005C1147"/>
    <w:rsid w:val="005E195A"/>
    <w:rsid w:val="005F2EBB"/>
    <w:rsid w:val="00614CBB"/>
    <w:rsid w:val="00616A41"/>
    <w:rsid w:val="00622ED6"/>
    <w:rsid w:val="00626196"/>
    <w:rsid w:val="00626ABE"/>
    <w:rsid w:val="00632195"/>
    <w:rsid w:val="006445AC"/>
    <w:rsid w:val="006464D1"/>
    <w:rsid w:val="00650B14"/>
    <w:rsid w:val="0065360E"/>
    <w:rsid w:val="00655718"/>
    <w:rsid w:val="00656AAF"/>
    <w:rsid w:val="00660703"/>
    <w:rsid w:val="00680841"/>
    <w:rsid w:val="00680F4B"/>
    <w:rsid w:val="00681780"/>
    <w:rsid w:val="006836FF"/>
    <w:rsid w:val="006876A6"/>
    <w:rsid w:val="00692FE5"/>
    <w:rsid w:val="006A0B01"/>
    <w:rsid w:val="006A1FC2"/>
    <w:rsid w:val="006A5064"/>
    <w:rsid w:val="006A76EB"/>
    <w:rsid w:val="006B49AF"/>
    <w:rsid w:val="006D7AD1"/>
    <w:rsid w:val="006E55A1"/>
    <w:rsid w:val="006E7262"/>
    <w:rsid w:val="007024E5"/>
    <w:rsid w:val="007061E3"/>
    <w:rsid w:val="00712BE6"/>
    <w:rsid w:val="007130BE"/>
    <w:rsid w:val="007203E3"/>
    <w:rsid w:val="00720492"/>
    <w:rsid w:val="007235F4"/>
    <w:rsid w:val="00731599"/>
    <w:rsid w:val="00735F31"/>
    <w:rsid w:val="00737238"/>
    <w:rsid w:val="0074490F"/>
    <w:rsid w:val="007637CA"/>
    <w:rsid w:val="00763DD1"/>
    <w:rsid w:val="00771B4F"/>
    <w:rsid w:val="007A0A8E"/>
    <w:rsid w:val="007A104C"/>
    <w:rsid w:val="007A6C1C"/>
    <w:rsid w:val="007A6F17"/>
    <w:rsid w:val="007B06B5"/>
    <w:rsid w:val="007C3389"/>
    <w:rsid w:val="007C5B15"/>
    <w:rsid w:val="007E3ED1"/>
    <w:rsid w:val="00806627"/>
    <w:rsid w:val="00812E6A"/>
    <w:rsid w:val="00817804"/>
    <w:rsid w:val="00840070"/>
    <w:rsid w:val="008439A4"/>
    <w:rsid w:val="0084560F"/>
    <w:rsid w:val="00846AA3"/>
    <w:rsid w:val="008520D8"/>
    <w:rsid w:val="00863F54"/>
    <w:rsid w:val="00864001"/>
    <w:rsid w:val="00870B8A"/>
    <w:rsid w:val="00876158"/>
    <w:rsid w:val="00883E60"/>
    <w:rsid w:val="00896934"/>
    <w:rsid w:val="008B64DC"/>
    <w:rsid w:val="008C66D5"/>
    <w:rsid w:val="008D0FDF"/>
    <w:rsid w:val="008D416A"/>
    <w:rsid w:val="008E7987"/>
    <w:rsid w:val="008F3663"/>
    <w:rsid w:val="008F6CCD"/>
    <w:rsid w:val="00905EA5"/>
    <w:rsid w:val="009060E3"/>
    <w:rsid w:val="00916967"/>
    <w:rsid w:val="00940B78"/>
    <w:rsid w:val="009443F3"/>
    <w:rsid w:val="009471D3"/>
    <w:rsid w:val="00951650"/>
    <w:rsid w:val="00955313"/>
    <w:rsid w:val="0096756B"/>
    <w:rsid w:val="00972839"/>
    <w:rsid w:val="00975FA8"/>
    <w:rsid w:val="00986A4E"/>
    <w:rsid w:val="00992A79"/>
    <w:rsid w:val="00995AE8"/>
    <w:rsid w:val="009A1457"/>
    <w:rsid w:val="009B2958"/>
    <w:rsid w:val="009B33F6"/>
    <w:rsid w:val="009C107F"/>
    <w:rsid w:val="009C403F"/>
    <w:rsid w:val="009C5B33"/>
    <w:rsid w:val="009D4DFA"/>
    <w:rsid w:val="009D735B"/>
    <w:rsid w:val="009E262E"/>
    <w:rsid w:val="009E517A"/>
    <w:rsid w:val="009F185D"/>
    <w:rsid w:val="009F1E43"/>
    <w:rsid w:val="009F36DF"/>
    <w:rsid w:val="009F5357"/>
    <w:rsid w:val="00A00C4B"/>
    <w:rsid w:val="00A0323F"/>
    <w:rsid w:val="00A0452C"/>
    <w:rsid w:val="00A21AFE"/>
    <w:rsid w:val="00A25DB2"/>
    <w:rsid w:val="00A42333"/>
    <w:rsid w:val="00A517A0"/>
    <w:rsid w:val="00A64DC2"/>
    <w:rsid w:val="00A77FED"/>
    <w:rsid w:val="00A8061B"/>
    <w:rsid w:val="00A83615"/>
    <w:rsid w:val="00A87B79"/>
    <w:rsid w:val="00A946E3"/>
    <w:rsid w:val="00AA2DE6"/>
    <w:rsid w:val="00AA7624"/>
    <w:rsid w:val="00AB34FA"/>
    <w:rsid w:val="00AB52B9"/>
    <w:rsid w:val="00AC7BA7"/>
    <w:rsid w:val="00AD344A"/>
    <w:rsid w:val="00AD623C"/>
    <w:rsid w:val="00AF1D9D"/>
    <w:rsid w:val="00AF31C7"/>
    <w:rsid w:val="00B0542C"/>
    <w:rsid w:val="00B07B46"/>
    <w:rsid w:val="00B114B6"/>
    <w:rsid w:val="00B152A8"/>
    <w:rsid w:val="00B33334"/>
    <w:rsid w:val="00B34A47"/>
    <w:rsid w:val="00B50BF7"/>
    <w:rsid w:val="00B56FD5"/>
    <w:rsid w:val="00B66963"/>
    <w:rsid w:val="00B7753F"/>
    <w:rsid w:val="00B8631C"/>
    <w:rsid w:val="00B95C18"/>
    <w:rsid w:val="00BA3B77"/>
    <w:rsid w:val="00BA4250"/>
    <w:rsid w:val="00BB3A22"/>
    <w:rsid w:val="00BC00F7"/>
    <w:rsid w:val="00BC6A5D"/>
    <w:rsid w:val="00BE3BA7"/>
    <w:rsid w:val="00BE661E"/>
    <w:rsid w:val="00BF6CC8"/>
    <w:rsid w:val="00C02B40"/>
    <w:rsid w:val="00C04B45"/>
    <w:rsid w:val="00C14136"/>
    <w:rsid w:val="00C141D5"/>
    <w:rsid w:val="00C23929"/>
    <w:rsid w:val="00C50684"/>
    <w:rsid w:val="00C56D57"/>
    <w:rsid w:val="00C72362"/>
    <w:rsid w:val="00C76CDE"/>
    <w:rsid w:val="00CA7880"/>
    <w:rsid w:val="00CB2739"/>
    <w:rsid w:val="00CC1E8B"/>
    <w:rsid w:val="00CD17BA"/>
    <w:rsid w:val="00CD1863"/>
    <w:rsid w:val="00CD6658"/>
    <w:rsid w:val="00D04FC3"/>
    <w:rsid w:val="00D111F6"/>
    <w:rsid w:val="00D24703"/>
    <w:rsid w:val="00D46FF5"/>
    <w:rsid w:val="00D4789F"/>
    <w:rsid w:val="00D51C5C"/>
    <w:rsid w:val="00D66080"/>
    <w:rsid w:val="00D74FA1"/>
    <w:rsid w:val="00D82B2F"/>
    <w:rsid w:val="00D834CC"/>
    <w:rsid w:val="00D849C9"/>
    <w:rsid w:val="00D95640"/>
    <w:rsid w:val="00DA2200"/>
    <w:rsid w:val="00DA6FB1"/>
    <w:rsid w:val="00DA762A"/>
    <w:rsid w:val="00DA7685"/>
    <w:rsid w:val="00DB427D"/>
    <w:rsid w:val="00DB5701"/>
    <w:rsid w:val="00DC1357"/>
    <w:rsid w:val="00DD089B"/>
    <w:rsid w:val="00DE2992"/>
    <w:rsid w:val="00DE6300"/>
    <w:rsid w:val="00E13C99"/>
    <w:rsid w:val="00E23BC3"/>
    <w:rsid w:val="00E25CB3"/>
    <w:rsid w:val="00E63ACB"/>
    <w:rsid w:val="00E646F2"/>
    <w:rsid w:val="00E65DEA"/>
    <w:rsid w:val="00E77D96"/>
    <w:rsid w:val="00E80E71"/>
    <w:rsid w:val="00E824AB"/>
    <w:rsid w:val="00E96D21"/>
    <w:rsid w:val="00EA6FB9"/>
    <w:rsid w:val="00EB38AA"/>
    <w:rsid w:val="00EC4DB7"/>
    <w:rsid w:val="00EC5965"/>
    <w:rsid w:val="00EE63F3"/>
    <w:rsid w:val="00EE653E"/>
    <w:rsid w:val="00EF31BF"/>
    <w:rsid w:val="00F01B6E"/>
    <w:rsid w:val="00F03174"/>
    <w:rsid w:val="00F03FCA"/>
    <w:rsid w:val="00F07DEC"/>
    <w:rsid w:val="00F14020"/>
    <w:rsid w:val="00F26D45"/>
    <w:rsid w:val="00F31E52"/>
    <w:rsid w:val="00F502B3"/>
    <w:rsid w:val="00F53F3F"/>
    <w:rsid w:val="00F7373F"/>
    <w:rsid w:val="00F7402B"/>
    <w:rsid w:val="00F74ED3"/>
    <w:rsid w:val="00F830F1"/>
    <w:rsid w:val="00FA3734"/>
    <w:rsid w:val="00FB06E8"/>
    <w:rsid w:val="00FB3FBD"/>
    <w:rsid w:val="00FB7BCB"/>
    <w:rsid w:val="00FB7FCF"/>
    <w:rsid w:val="00FC1EEF"/>
    <w:rsid w:val="00FC3320"/>
    <w:rsid w:val="00FC5B62"/>
    <w:rsid w:val="00FE7368"/>
    <w:rsid w:val="00FF284F"/>
    <w:rsid w:val="02050952"/>
    <w:rsid w:val="02E36903"/>
    <w:rsid w:val="051C63DB"/>
    <w:rsid w:val="05962738"/>
    <w:rsid w:val="07CE59AE"/>
    <w:rsid w:val="08C44714"/>
    <w:rsid w:val="09A7532E"/>
    <w:rsid w:val="12D27E22"/>
    <w:rsid w:val="14317A76"/>
    <w:rsid w:val="187738F3"/>
    <w:rsid w:val="1A3D25B1"/>
    <w:rsid w:val="1AD06E38"/>
    <w:rsid w:val="1C135E85"/>
    <w:rsid w:val="22AA75BF"/>
    <w:rsid w:val="23506783"/>
    <w:rsid w:val="23F5690D"/>
    <w:rsid w:val="2BC5202A"/>
    <w:rsid w:val="2C066D04"/>
    <w:rsid w:val="2C195CE9"/>
    <w:rsid w:val="2CF328C2"/>
    <w:rsid w:val="33F14299"/>
    <w:rsid w:val="35C43E65"/>
    <w:rsid w:val="3BAC57E2"/>
    <w:rsid w:val="3E2703A9"/>
    <w:rsid w:val="42A96149"/>
    <w:rsid w:val="46710CBE"/>
    <w:rsid w:val="4AB7578D"/>
    <w:rsid w:val="4BB97798"/>
    <w:rsid w:val="4FC22D5C"/>
    <w:rsid w:val="57FE6B37"/>
    <w:rsid w:val="5A036AB3"/>
    <w:rsid w:val="5A4D3DF3"/>
    <w:rsid w:val="5C574DE4"/>
    <w:rsid w:val="63F26487"/>
    <w:rsid w:val="649B19B5"/>
    <w:rsid w:val="685F333B"/>
    <w:rsid w:val="6E0A730D"/>
    <w:rsid w:val="70635234"/>
    <w:rsid w:val="769B3946"/>
    <w:rsid w:val="7B9B55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6"/>
    <w:link w:val="20"/>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7">
    <w:name w:val="heading 3"/>
    <w:basedOn w:val="1"/>
    <w:next w:val="6"/>
    <w:link w:val="2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6">
    <w:name w:val="Normal Indent"/>
    <w:basedOn w:val="1"/>
    <w:unhideWhenUsed/>
    <w:qFormat/>
    <w:uiPriority w:val="99"/>
    <w:pPr>
      <w:ind w:firstLine="420" w:firstLineChars="200"/>
    </w:pPr>
  </w:style>
  <w:style w:type="paragraph" w:styleId="8">
    <w:name w:val="annotation text"/>
    <w:basedOn w:val="1"/>
    <w:link w:val="36"/>
    <w:qFormat/>
    <w:uiPriority w:val="0"/>
    <w:pPr>
      <w:jc w:val="left"/>
    </w:pPr>
  </w:style>
  <w:style w:type="paragraph" w:styleId="9">
    <w:name w:val="Body Text"/>
    <w:basedOn w:val="1"/>
    <w:qFormat/>
    <w:uiPriority w:val="0"/>
    <w:rPr>
      <w:rFonts w:ascii="宋体"/>
      <w:sz w:val="28"/>
    </w:rPr>
  </w:style>
  <w:style w:type="paragraph" w:styleId="10">
    <w:name w:val="Plain Text"/>
    <w:basedOn w:val="1"/>
    <w:link w:val="22"/>
    <w:qFormat/>
    <w:uiPriority w:val="99"/>
    <w:rPr>
      <w:rFonts w:ascii="宋体" w:hAnsi="Courier New" w:cs="Courier New"/>
    </w:rPr>
  </w:style>
  <w:style w:type="paragraph" w:styleId="11">
    <w:name w:val="Balloon Text"/>
    <w:basedOn w:val="1"/>
    <w:link w:val="35"/>
    <w:semiHidden/>
    <w:unhideWhenUsed/>
    <w:qFormat/>
    <w:uiPriority w:val="99"/>
    <w:rPr>
      <w:sz w:val="18"/>
      <w:szCs w:val="18"/>
    </w:rPr>
  </w:style>
  <w:style w:type="paragraph" w:styleId="12">
    <w:name w:val="footer"/>
    <w:basedOn w:val="1"/>
    <w:link w:val="23"/>
    <w:uiPriority w:val="0"/>
    <w:pPr>
      <w:tabs>
        <w:tab w:val="center" w:pos="4153"/>
        <w:tab w:val="right" w:pos="8306"/>
      </w:tabs>
      <w:snapToGrid w:val="0"/>
      <w:jc w:val="left"/>
    </w:pPr>
    <w:rPr>
      <w:rFonts w:asciiTheme="minorHAnsi" w:hAnsiTheme="minorHAnsi" w:cstheme="minorBidi"/>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9"/>
    <w:qFormat/>
    <w:uiPriority w:val="0"/>
    <w:pPr>
      <w:ind w:firstLine="420" w:firstLineChars="100"/>
    </w:pPr>
  </w:style>
  <w:style w:type="table" w:styleId="17">
    <w:name w:val="Table Grid"/>
    <w:basedOn w:val="1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customStyle="1" w:styleId="20">
    <w:name w:val="标题 2 Char"/>
    <w:basedOn w:val="18"/>
    <w:link w:val="5"/>
    <w:qFormat/>
    <w:uiPriority w:val="0"/>
    <w:rPr>
      <w:rFonts w:ascii="Arial" w:hAnsi="Arial" w:eastAsia="幼圆" w:cs="Arial"/>
      <w:b/>
      <w:bCs/>
      <w:sz w:val="44"/>
      <w:szCs w:val="44"/>
    </w:rPr>
  </w:style>
  <w:style w:type="character" w:customStyle="1" w:styleId="21">
    <w:name w:val="标题 3 Char"/>
    <w:basedOn w:val="18"/>
    <w:link w:val="7"/>
    <w:qFormat/>
    <w:uiPriority w:val="0"/>
    <w:rPr>
      <w:rFonts w:ascii="Times New Roman" w:hAnsi="Times New Roman" w:eastAsia="宋体" w:cs="Times New Roman"/>
      <w:b/>
      <w:bCs/>
      <w:sz w:val="32"/>
      <w:szCs w:val="32"/>
    </w:rPr>
  </w:style>
  <w:style w:type="character" w:customStyle="1" w:styleId="22">
    <w:name w:val="纯文本 Char"/>
    <w:link w:val="10"/>
    <w:qFormat/>
    <w:locked/>
    <w:uiPriority w:val="99"/>
    <w:rPr>
      <w:rFonts w:ascii="宋体" w:hAnsi="Courier New" w:eastAsia="宋体" w:cs="Courier New"/>
      <w:szCs w:val="21"/>
    </w:rPr>
  </w:style>
  <w:style w:type="character" w:customStyle="1" w:styleId="23">
    <w:name w:val="页脚 Char"/>
    <w:link w:val="12"/>
    <w:qFormat/>
    <w:uiPriority w:val="0"/>
    <w:rPr>
      <w:rFonts w:eastAsia="宋体"/>
      <w:sz w:val="18"/>
      <w:szCs w:val="18"/>
    </w:rPr>
  </w:style>
  <w:style w:type="character" w:customStyle="1" w:styleId="24">
    <w:name w:val="页眉 Char"/>
    <w:link w:val="13"/>
    <w:qFormat/>
    <w:uiPriority w:val="0"/>
    <w:rPr>
      <w:sz w:val="18"/>
      <w:szCs w:val="18"/>
    </w:rPr>
  </w:style>
  <w:style w:type="character" w:customStyle="1" w:styleId="25">
    <w:name w:val="纯文本 Char1"/>
    <w:basedOn w:val="18"/>
    <w:semiHidden/>
    <w:qFormat/>
    <w:uiPriority w:val="99"/>
    <w:rPr>
      <w:rFonts w:ascii="宋体" w:hAnsi="Courier New" w:eastAsia="宋体" w:cs="Courier New"/>
      <w:szCs w:val="21"/>
    </w:rPr>
  </w:style>
  <w:style w:type="character" w:customStyle="1" w:styleId="26">
    <w:name w:val="页眉 Char1"/>
    <w:basedOn w:val="18"/>
    <w:semiHidden/>
    <w:qFormat/>
    <w:uiPriority w:val="99"/>
    <w:rPr>
      <w:rFonts w:ascii="Times New Roman" w:hAnsi="Times New Roman" w:eastAsia="宋体" w:cs="Times New Roman"/>
      <w:sz w:val="18"/>
      <w:szCs w:val="18"/>
    </w:rPr>
  </w:style>
  <w:style w:type="character" w:customStyle="1" w:styleId="27">
    <w:name w:val="页脚 Char1"/>
    <w:basedOn w:val="18"/>
    <w:semiHidden/>
    <w:qFormat/>
    <w:uiPriority w:val="99"/>
    <w:rPr>
      <w:rFonts w:ascii="Times New Roman" w:hAnsi="Times New Roman" w:eastAsia="宋体" w:cs="Times New Roman"/>
      <w:sz w:val="18"/>
      <w:szCs w:val="18"/>
    </w:rPr>
  </w:style>
  <w:style w:type="paragraph" w:customStyle="1" w:styleId="28">
    <w:name w:val="pa-0"/>
    <w:basedOn w:val="1"/>
    <w:qFormat/>
    <w:uiPriority w:val="0"/>
    <w:pPr>
      <w:widowControl/>
      <w:spacing w:before="150" w:after="150"/>
      <w:jc w:val="left"/>
    </w:pPr>
    <w:rPr>
      <w:rFonts w:ascii="宋体" w:hAnsi="宋体" w:cs="宋体"/>
      <w:kern w:val="0"/>
      <w:sz w:val="24"/>
      <w:szCs w:val="24"/>
    </w:rPr>
  </w:style>
  <w:style w:type="paragraph" w:customStyle="1" w:styleId="29">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31">
    <w:name w:val="Char"/>
    <w:basedOn w:val="1"/>
    <w:qFormat/>
    <w:uiPriority w:val="0"/>
    <w:pPr>
      <w:tabs>
        <w:tab w:val="left" w:pos="360"/>
      </w:tabs>
    </w:pPr>
    <w:rPr>
      <w:sz w:val="24"/>
      <w:szCs w:val="24"/>
    </w:rPr>
  </w:style>
  <w:style w:type="paragraph" w:customStyle="1" w:styleId="32">
    <w:name w:val="列出段落1"/>
    <w:basedOn w:val="1"/>
    <w:qFormat/>
    <w:uiPriority w:val="0"/>
    <w:pPr>
      <w:ind w:firstLine="420" w:firstLineChars="200"/>
    </w:pPr>
    <w:rPr>
      <w:rFonts w:ascii="Calibri" w:hAnsi="Calibri"/>
      <w:szCs w:val="22"/>
    </w:rPr>
  </w:style>
  <w:style w:type="paragraph" w:customStyle="1" w:styleId="33">
    <w:name w:val="列出段落2"/>
    <w:basedOn w:val="1"/>
    <w:qFormat/>
    <w:uiPriority w:val="34"/>
    <w:pPr>
      <w:ind w:firstLine="420" w:firstLineChars="200"/>
    </w:pPr>
  </w:style>
  <w:style w:type="paragraph" w:styleId="34">
    <w:name w:val="List Paragraph"/>
    <w:basedOn w:val="1"/>
    <w:link w:val="38"/>
    <w:qFormat/>
    <w:uiPriority w:val="34"/>
    <w:pPr>
      <w:ind w:firstLine="420" w:firstLineChars="200"/>
    </w:pPr>
  </w:style>
  <w:style w:type="character" w:customStyle="1" w:styleId="35">
    <w:name w:val="批注框文本 Char"/>
    <w:basedOn w:val="18"/>
    <w:link w:val="11"/>
    <w:semiHidden/>
    <w:qFormat/>
    <w:uiPriority w:val="99"/>
    <w:rPr>
      <w:rFonts w:ascii="Times New Roman" w:hAnsi="Times New Roman" w:eastAsia="宋体" w:cs="Times New Roman"/>
      <w:kern w:val="2"/>
      <w:sz w:val="18"/>
      <w:szCs w:val="18"/>
    </w:rPr>
  </w:style>
  <w:style w:type="character" w:customStyle="1" w:styleId="36">
    <w:name w:val="批注文字 Char"/>
    <w:basedOn w:val="18"/>
    <w:link w:val="8"/>
    <w:qFormat/>
    <w:uiPriority w:val="0"/>
    <w:rPr>
      <w:rFonts w:ascii="Times New Roman" w:hAnsi="Times New Roman" w:eastAsia="宋体" w:cs="Times New Roman"/>
      <w:kern w:val="2"/>
      <w:sz w:val="21"/>
      <w:szCs w:val="21"/>
    </w:rPr>
  </w:style>
  <w:style w:type="paragraph" w:customStyle="1" w:styleId="37">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38">
    <w:name w:val="列出段落 Char"/>
    <w:link w:val="34"/>
    <w:qFormat/>
    <w:locked/>
    <w:uiPriority w:val="0"/>
    <w:rPr>
      <w:rFonts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D3617-7ECE-4AFD-81D7-FF6AC87A78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2143</Words>
  <Characters>12219</Characters>
  <Lines>101</Lines>
  <Paragraphs>28</Paragraphs>
  <TotalTime>0</TotalTime>
  <ScaleCrop>false</ScaleCrop>
  <LinksUpToDate>false</LinksUpToDate>
  <CharactersWithSpaces>14334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2017-09-27T07:47:00Z</dcterms:created>
  <dc:creator>admin</dc:creator>
  <cp:lastModifiedBy>┾MR 木〆子</cp:lastModifiedBy>
  <cp:lastPrinted>2018-04-19T08:54:00Z</cp:lastPrinted>
  <dcterms:modified xsi:type="dcterms:W3CDTF">2020-11-12T08:48:31Z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