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南京邮电大学通达学院校园网防毒墙系统采购项目</w:t>
      </w: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ind w:firstLine="0"/>
        <w:jc w:val="center"/>
        <w:rPr>
          <w:rFonts w:hint="eastAsia" w:ascii="宋体" w:hAnsi="宋体" w:cs="宋体"/>
          <w:b/>
          <w:bCs/>
          <w:sz w:val="84"/>
        </w:rPr>
      </w:pPr>
    </w:p>
    <w:p>
      <w:pPr>
        <w:pStyle w:val="14"/>
        <w:ind w:firstLine="0"/>
        <w:jc w:val="center"/>
        <w:rPr>
          <w:rFonts w:hint="eastAsia" w:ascii="宋体" w:hAnsi="宋体" w:cs="宋体"/>
          <w:b/>
          <w:bCs/>
          <w:sz w:val="84"/>
        </w:rPr>
      </w:pPr>
      <w:r>
        <w:rPr>
          <w:rFonts w:hint="eastAsia" w:ascii="宋体" w:hAnsi="宋体" w:cs="宋体"/>
          <w:b/>
          <w:bCs/>
          <w:sz w:val="84"/>
        </w:rPr>
        <w:t>采 购 文 件</w:t>
      </w:r>
    </w:p>
    <w:p>
      <w:pPr>
        <w:pStyle w:val="14"/>
        <w:ind w:firstLine="0"/>
        <w:jc w:val="center"/>
        <w:rPr>
          <w:rFonts w:hint="eastAsia" w:ascii="宋体" w:hAnsi="宋体" w:cs="宋体"/>
          <w:b/>
          <w:bCs/>
          <w:sz w:val="32"/>
        </w:rPr>
      </w:pPr>
    </w:p>
    <w:p>
      <w:pPr>
        <w:pStyle w:val="14"/>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20022</w:t>
      </w:r>
    </w:p>
    <w:p>
      <w:pPr>
        <w:pStyle w:val="14"/>
        <w:ind w:firstLine="0"/>
        <w:jc w:val="center"/>
        <w:rPr>
          <w:rFonts w:hint="eastAsia" w:ascii="宋体" w:hAnsi="宋体" w:cs="宋体"/>
          <w:b/>
          <w:sz w:val="36"/>
          <w:szCs w:val="36"/>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10</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479757206"/>
      <w:bookmarkStart w:id="2" w:name="_Toc523127445"/>
      <w:bookmarkStart w:id="3" w:name="_Toc20823272"/>
      <w:bookmarkStart w:id="4" w:name="_Toc513029200"/>
      <w:bookmarkStart w:id="5" w:name="_Toc16938516"/>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根据国家招投标的法律法规和南京邮电大学的相关规定，现对南京邮电大学通达学院校园网防毒墙系统采购项目进行公开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采购项目名称及编号：南京邮电大学通达学院校园网防毒墙系统采购项目。（项目编号TDHQ20</w:t>
      </w:r>
      <w:r>
        <w:rPr>
          <w:rFonts w:hint="eastAsia"/>
          <w:sz w:val="21"/>
          <w:szCs w:val="21"/>
          <w:lang w:val="en-US" w:eastAsia="zh-CN"/>
        </w:rPr>
        <w:t>20022</w:t>
      </w:r>
      <w:r>
        <w:rPr>
          <w:rFonts w:hint="eastAsia"/>
          <w:sz w:val="21"/>
          <w:szCs w:val="21"/>
        </w:rPr>
        <w:t>）</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校园网防毒墙系统1套（具体采购数量及要求参见甲方采购文件）。2.项目地点：扬州市润扬南路33号。3.技术条款咨询联系人：黄老师 ，联系电话：0514-89716020。（注：如不咨询，视为已理解该技术指标。）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 投标人资质要求:</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2</w:t>
      </w:r>
      <w:r>
        <w:rPr>
          <w:rFonts w:hint="eastAsia"/>
          <w:sz w:val="21"/>
          <w:szCs w:val="21"/>
          <w:lang w:val="en-US" w:eastAsia="zh-CN"/>
        </w:rPr>
        <w:t>.</w:t>
      </w:r>
      <w:r>
        <w:rPr>
          <w:rFonts w:hint="eastAsia"/>
          <w:sz w:val="21"/>
          <w:szCs w:val="21"/>
        </w:rPr>
        <w:t>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3</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0"/>
        <w:shd w:val="clear" w:color="auto"/>
        <w:spacing w:before="0" w:beforeAutospacing="0" w:after="0" w:afterAutospacing="0" w:line="480" w:lineRule="exact"/>
        <w:ind w:firstLine="420"/>
        <w:rPr>
          <w:rFonts w:hint="eastAsia"/>
          <w:sz w:val="21"/>
          <w:szCs w:val="21"/>
          <w:lang w:eastAsia="zh-CN"/>
        </w:rPr>
      </w:pPr>
      <w:r>
        <w:rPr>
          <w:rFonts w:hint="eastAsia"/>
          <w:sz w:val="21"/>
          <w:szCs w:val="21"/>
          <w:lang w:val="en-US" w:eastAsia="zh-CN"/>
        </w:rPr>
        <w:t>5.</w:t>
      </w:r>
      <w:r>
        <w:rPr>
          <w:rFonts w:hint="eastAsia"/>
          <w:sz w:val="21"/>
          <w:szCs w:val="21"/>
        </w:rPr>
        <w:t xml:space="preserve">产品具备公安部“防病毒网关”销售许可证（提供截图证明并加盖原厂公章确认) </w:t>
      </w:r>
      <w:r>
        <w:rPr>
          <w:rFonts w:hint="eastAsia"/>
          <w:sz w:val="21"/>
          <w:szCs w:val="21"/>
          <w:lang w:eastAsia="zh-CN"/>
        </w:rPr>
        <w:t>；</w:t>
      </w:r>
    </w:p>
    <w:p>
      <w:pPr>
        <w:pStyle w:val="10"/>
        <w:shd w:val="clear" w:color="auto"/>
        <w:spacing w:before="0" w:beforeAutospacing="0" w:after="0" w:afterAutospacing="0" w:line="480" w:lineRule="exact"/>
        <w:ind w:firstLine="420"/>
        <w:rPr>
          <w:rFonts w:hint="eastAsia"/>
          <w:sz w:val="21"/>
          <w:szCs w:val="21"/>
          <w:lang w:eastAsia="zh-CN"/>
        </w:rPr>
      </w:pPr>
      <w:r>
        <w:rPr>
          <w:rFonts w:hint="eastAsia"/>
          <w:sz w:val="21"/>
          <w:szCs w:val="21"/>
          <w:lang w:val="en-US" w:eastAsia="zh-CN"/>
        </w:rPr>
        <w:t>6.</w:t>
      </w:r>
      <w:r>
        <w:rPr>
          <w:rFonts w:hint="eastAsia"/>
          <w:sz w:val="21"/>
          <w:szCs w:val="21"/>
        </w:rPr>
        <w:t>通过公安部一所颁布的信息安全等级保护安全建设服务机构能力认证（提供证明材料并加盖原厂公章确认)</w:t>
      </w:r>
      <w:r>
        <w:rPr>
          <w:rFonts w:hint="eastAsia"/>
          <w:sz w:val="21"/>
          <w:szCs w:val="21"/>
          <w:lang w:eastAsia="zh-CN"/>
        </w:rPr>
        <w:t>；</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lang w:val="en-US" w:eastAsia="zh-CN"/>
        </w:rPr>
        <w:t>7.</w:t>
      </w:r>
      <w:r>
        <w:rPr>
          <w:rFonts w:hint="eastAsia"/>
          <w:sz w:val="21"/>
          <w:szCs w:val="21"/>
        </w:rPr>
        <w:t>本项目不接受联合体投标。</w:t>
      </w:r>
    </w:p>
    <w:p>
      <w:pPr>
        <w:pStyle w:val="10"/>
        <w:shd w:val="clear" w:color="auto" w:fill="FFFFFF"/>
        <w:spacing w:before="0" w:beforeAutospacing="0" w:after="0" w:afterAutospacing="0" w:line="480" w:lineRule="exact"/>
        <w:ind w:firstLine="480"/>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0"/>
        <w:shd w:val="clear" w:color="auto" w:fill="FFFFFF"/>
        <w:spacing w:before="0" w:beforeAutospacing="0" w:after="0" w:afterAutospacing="0" w:line="480" w:lineRule="exact"/>
        <w:ind w:firstLine="480"/>
        <w:jc w:val="right"/>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0"/>
        <w:shd w:val="clear" w:color="auto" w:fill="FFFFFF"/>
        <w:spacing w:before="0" w:beforeAutospacing="0" w:after="0" w:afterAutospacing="0" w:line="480" w:lineRule="exact"/>
        <w:jc w:val="right"/>
        <w:rPr>
          <w:rFonts w:hint="eastAsia"/>
          <w:sz w:val="21"/>
          <w:szCs w:val="21"/>
        </w:rPr>
      </w:pPr>
      <w:r>
        <w:rPr>
          <w:rFonts w:hint="eastAsia"/>
          <w:sz w:val="21"/>
          <w:szCs w:val="21"/>
        </w:rPr>
        <w:t xml:space="preserve">                                                                二〇二〇年</w:t>
      </w:r>
      <w:r>
        <w:rPr>
          <w:rFonts w:hint="eastAsia"/>
          <w:sz w:val="21"/>
          <w:szCs w:val="21"/>
          <w:lang w:eastAsia="zh-CN"/>
        </w:rPr>
        <w:t>十</w:t>
      </w:r>
      <w:r>
        <w:rPr>
          <w:rFonts w:hint="eastAsia"/>
          <w:sz w:val="21"/>
          <w:szCs w:val="21"/>
        </w:rPr>
        <w:t>月</w:t>
      </w:r>
      <w:r>
        <w:rPr>
          <w:rFonts w:hint="eastAsia"/>
          <w:sz w:val="21"/>
          <w:szCs w:val="21"/>
          <w:lang w:eastAsia="zh-CN"/>
        </w:rPr>
        <w:t>十六</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4"/>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120614213"/>
      <w:bookmarkStart w:id="9" w:name="_Toc16938518"/>
      <w:bookmarkStart w:id="10" w:name="_Toc20823274"/>
      <w:bookmarkStart w:id="11" w:name="_Toc513029202"/>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16938519"/>
      <w:bookmarkStart w:id="13" w:name="_Toc513029203"/>
      <w:bookmarkStart w:id="14" w:name="_Toc20823275"/>
      <w:bookmarkStart w:id="15" w:name="_Toc120614214"/>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20823314"/>
      <w:bookmarkStart w:id="17" w:name="_Toc513029242"/>
      <w:bookmarkStart w:id="18" w:name="_Toc16938558"/>
      <w:bookmarkStart w:id="19" w:name="_Toc479757207"/>
      <w:bookmarkStart w:id="20" w:name="_Toc120614221"/>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16938559"/>
      <w:bookmarkStart w:id="22" w:name="_Toc20823315"/>
      <w:bookmarkStart w:id="23" w:name="_Toc513029243"/>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1"/>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20614244"/>
      <w:bookmarkStart w:id="27" w:name="_Hlt16619350"/>
      <w:bookmarkStart w:id="28" w:name="_Toc1693859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w:t>
      </w:r>
      <w:r>
        <w:rPr>
          <w:rFonts w:hint="eastAsia" w:ascii="宋体" w:hAnsi="宋体" w:cs="宋体"/>
          <w:bCs/>
          <w:sz w:val="44"/>
          <w:lang w:val="en-US" w:eastAsia="zh-CN"/>
        </w:rPr>
        <w:t xml:space="preserve">  </w:t>
      </w:r>
      <w:r>
        <w:rPr>
          <w:rFonts w:hint="eastAsia" w:ascii="宋体" w:hAnsi="宋体" w:cs="宋体"/>
          <w:bCs/>
          <w:sz w:val="44"/>
          <w:lang w:eastAsia="zh-CN"/>
        </w:rPr>
        <w:t>校园网防毒墙系统项目技术要求</w:t>
      </w:r>
    </w:p>
    <w:p>
      <w:pPr>
        <w:rPr>
          <w:rFonts w:hint="eastAsia"/>
        </w:rPr>
      </w:pPr>
    </w:p>
    <w:p>
      <w:pPr>
        <w:numPr>
          <w:ilvl w:val="0"/>
          <w:numId w:val="3"/>
        </w:numPr>
        <w:spacing w:line="360" w:lineRule="auto"/>
        <w:rPr>
          <w:rFonts w:hint="eastAsia"/>
          <w:b/>
          <w:sz w:val="24"/>
        </w:rPr>
      </w:pPr>
      <w:r>
        <w:rPr>
          <w:rFonts w:hint="eastAsia"/>
          <w:b/>
          <w:sz w:val="24"/>
        </w:rPr>
        <w:t>项目介绍</w:t>
      </w:r>
    </w:p>
    <w:p>
      <w:pPr>
        <w:pStyle w:val="10"/>
        <w:spacing w:before="0" w:beforeAutospacing="0" w:after="0" w:afterAutospacing="0" w:line="360" w:lineRule="auto"/>
        <w:rPr>
          <w:rFonts w:hint="eastAsia"/>
        </w:rPr>
      </w:pPr>
      <w:r>
        <w:rPr>
          <w:rFonts w:hint="eastAsia"/>
        </w:rPr>
        <w:tab/>
      </w:r>
      <w:r>
        <w:rPr>
          <w:rFonts w:hint="eastAsia"/>
        </w:rPr>
        <w:t>为</w:t>
      </w:r>
      <w:r>
        <w:rPr>
          <w:rFonts w:hint="eastAsia" w:hAnsi="Arial"/>
          <w:shd w:val="clear" w:color="auto" w:fill="FFFFFF"/>
        </w:rPr>
        <w:t>保障业务</w:t>
      </w:r>
      <w:r>
        <w:rPr>
          <w:rFonts w:hAnsi="Arial"/>
          <w:shd w:val="clear" w:color="auto" w:fill="FFFFFF"/>
        </w:rPr>
        <w:t>系统连续</w:t>
      </w:r>
      <w:r>
        <w:rPr>
          <w:rFonts w:hint="eastAsia" w:hAnsi="Arial"/>
          <w:shd w:val="clear" w:color="auto" w:fill="FFFFFF"/>
        </w:rPr>
        <w:t>稳定</w:t>
      </w:r>
      <w:r>
        <w:rPr>
          <w:rFonts w:hAnsi="Arial"/>
          <w:shd w:val="clear" w:color="auto" w:fill="FFFFFF"/>
        </w:rPr>
        <w:t>可靠</w:t>
      </w:r>
      <w:r>
        <w:rPr>
          <w:rFonts w:hint="eastAsia" w:hAnsi="Arial"/>
          <w:shd w:val="clear" w:color="auto" w:fill="FFFFFF"/>
        </w:rPr>
        <w:t>的</w:t>
      </w:r>
      <w:r>
        <w:rPr>
          <w:rFonts w:hAnsi="Arial"/>
          <w:shd w:val="clear" w:color="auto" w:fill="FFFFFF"/>
        </w:rPr>
        <w:t>正常地运行，</w:t>
      </w:r>
      <w:r>
        <w:rPr>
          <w:rFonts w:hint="eastAsia"/>
        </w:rPr>
        <w:t>保障南京邮电大学通达学院校园网</w:t>
      </w:r>
      <w:r>
        <w:rPr>
          <w:rFonts w:hAnsi="Arial"/>
          <w:shd w:val="clear" w:color="auto" w:fill="FFFFFF"/>
        </w:rPr>
        <w:t>系统</w:t>
      </w:r>
      <w:r>
        <w:rPr>
          <w:rFonts w:hint="eastAsia" w:hAnsi="Arial"/>
          <w:shd w:val="clear" w:color="auto" w:fill="FFFFFF"/>
        </w:rPr>
        <w:t>的网络运行安全；保障网络系统的</w:t>
      </w:r>
      <w:r>
        <w:rPr>
          <w:rFonts w:hint="eastAsia"/>
        </w:rPr>
        <w:t>主机安全，</w:t>
      </w:r>
      <w:r>
        <w:rPr>
          <w:rFonts w:ascii="Calibri" w:hAnsi="Calibri"/>
          <w:szCs w:val="21"/>
        </w:rPr>
        <w:t>消除电脑病毒、特洛伊木马和恶意软件等计算机威胁的一类软件</w:t>
      </w:r>
      <w:r>
        <w:rPr>
          <w:rFonts w:hint="eastAsia" w:ascii="Calibri" w:hAnsi="Calibri"/>
          <w:szCs w:val="21"/>
        </w:rPr>
        <w:t>入侵</w:t>
      </w:r>
      <w:r>
        <w:rPr>
          <w:rFonts w:ascii="Calibri" w:hAnsi="Calibri"/>
          <w:szCs w:val="21"/>
        </w:rPr>
        <w:t>。</w:t>
      </w:r>
      <w:r>
        <w:rPr>
          <w:rFonts w:hint="eastAsia"/>
        </w:rPr>
        <w:t>协助网络管理人员</w:t>
      </w:r>
      <w:r>
        <w:t>有效的</w:t>
      </w:r>
      <w:r>
        <w:rPr>
          <w:rFonts w:hint="eastAsia"/>
        </w:rPr>
        <w:t>检测和阻断病毒的入侵和爆发，</w:t>
      </w:r>
      <w:r>
        <w:t>保护</w:t>
      </w:r>
      <w:r>
        <w:rPr>
          <w:rFonts w:hint="eastAsia"/>
        </w:rPr>
        <w:t>我院</w:t>
      </w:r>
      <w:r>
        <w:t>网络IT</w:t>
      </w:r>
      <w:r>
        <w:rPr>
          <w:rFonts w:hint="eastAsia"/>
        </w:rPr>
        <w:t>运行稳定可靠</w:t>
      </w:r>
      <w:r>
        <w:rPr>
          <w:rFonts w:hint="eastAsia" w:hAnsi="Tahoma"/>
        </w:rPr>
        <w:t>，达到</w:t>
      </w:r>
      <w:r>
        <w:t>防护网络安全</w:t>
      </w:r>
      <w:r>
        <w:rPr>
          <w:rFonts w:hint="eastAsia"/>
        </w:rPr>
        <w:t>的目的。为满足等级保护规范要求，通达学院拟采购防毒墙系统一套，用以构建校园网</w:t>
      </w:r>
      <w:r>
        <w:rPr>
          <w:rFonts w:hint="eastAsia"/>
          <w:color w:val="000000"/>
        </w:rPr>
        <w:t>安全防护体系</w:t>
      </w:r>
      <w:r>
        <w:rPr>
          <w:rFonts w:hint="eastAsia"/>
        </w:rPr>
        <w:t>。</w:t>
      </w:r>
    </w:p>
    <w:p>
      <w:pPr>
        <w:numPr>
          <w:ilvl w:val="0"/>
          <w:numId w:val="3"/>
        </w:numPr>
        <w:spacing w:line="360" w:lineRule="auto"/>
        <w:rPr>
          <w:rFonts w:hint="eastAsia"/>
          <w:b/>
          <w:sz w:val="24"/>
        </w:rPr>
      </w:pPr>
      <w:r>
        <w:rPr>
          <w:rFonts w:hint="eastAsia"/>
          <w:b/>
          <w:sz w:val="24"/>
        </w:rPr>
        <w:t>技术要求</w:t>
      </w:r>
    </w:p>
    <w:tbl>
      <w:tblPr>
        <w:tblStyle w:val="11"/>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124"/>
        <w:gridCol w:w="1344"/>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28" w:type="dxa"/>
            <w:shd w:val="clear" w:color="auto" w:fill="auto"/>
            <w:noWrap w:val="0"/>
            <w:vAlign w:val="center"/>
          </w:tcPr>
          <w:p>
            <w:pPr>
              <w:jc w:val="center"/>
              <w:rPr>
                <w:rFonts w:hint="eastAsia" w:ascii="宋体" w:hAnsi="宋体" w:cs="Arial"/>
                <w:b/>
                <w:sz w:val="24"/>
              </w:rPr>
            </w:pPr>
            <w:r>
              <w:rPr>
                <w:rFonts w:hint="eastAsia" w:ascii="宋体" w:hAnsi="宋体" w:cs="Arial"/>
                <w:b/>
                <w:sz w:val="24"/>
              </w:rPr>
              <w:t>序号</w:t>
            </w:r>
          </w:p>
        </w:tc>
        <w:tc>
          <w:tcPr>
            <w:tcW w:w="1124" w:type="dxa"/>
            <w:shd w:val="clear" w:color="auto" w:fill="auto"/>
            <w:noWrap w:val="0"/>
            <w:vAlign w:val="center"/>
          </w:tcPr>
          <w:p>
            <w:pPr>
              <w:jc w:val="center"/>
              <w:rPr>
                <w:rFonts w:ascii="宋体" w:hAnsi="宋体" w:cs="Arial"/>
                <w:b/>
                <w:sz w:val="24"/>
                <w:lang w:eastAsia="zh-TW"/>
              </w:rPr>
            </w:pPr>
            <w:r>
              <w:rPr>
                <w:rFonts w:hint="eastAsia" w:ascii="宋体" w:hAnsi="宋体" w:cs="Arial"/>
                <w:b/>
                <w:sz w:val="24"/>
              </w:rPr>
              <w:t>类别</w:t>
            </w:r>
          </w:p>
        </w:tc>
        <w:tc>
          <w:tcPr>
            <w:tcW w:w="1344" w:type="dxa"/>
            <w:shd w:val="clear" w:color="auto" w:fill="auto"/>
            <w:noWrap w:val="0"/>
            <w:vAlign w:val="center"/>
          </w:tcPr>
          <w:p>
            <w:pPr>
              <w:jc w:val="center"/>
              <w:rPr>
                <w:rFonts w:ascii="宋体" w:hAnsi="宋体" w:cs="Arial"/>
                <w:b/>
                <w:sz w:val="24"/>
                <w:lang w:eastAsia="zh-TW"/>
              </w:rPr>
            </w:pPr>
            <w:r>
              <w:rPr>
                <w:rFonts w:hint="eastAsia" w:ascii="宋体" w:hAnsi="宋体" w:cs="Arial"/>
                <w:b/>
                <w:sz w:val="24"/>
              </w:rPr>
              <w:t>具体项目</w:t>
            </w:r>
          </w:p>
        </w:tc>
        <w:tc>
          <w:tcPr>
            <w:tcW w:w="5346" w:type="dxa"/>
            <w:shd w:val="clear" w:color="auto" w:fill="auto"/>
            <w:noWrap w:val="0"/>
            <w:vAlign w:val="center"/>
          </w:tcPr>
          <w:p>
            <w:pPr>
              <w:jc w:val="center"/>
              <w:rPr>
                <w:rFonts w:ascii="宋体" w:hAnsi="宋体" w:cs="Arial"/>
                <w:b/>
                <w:sz w:val="24"/>
                <w:lang w:eastAsia="zh-TW"/>
              </w:rPr>
            </w:pPr>
            <w:r>
              <w:rPr>
                <w:rFonts w:hint="eastAsia" w:ascii="宋体" w:hAnsi="宋体" w:cs="Arial"/>
                <w:b/>
                <w:sz w:val="24"/>
              </w:rPr>
              <w:t>功能与技术说明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28" w:type="dxa"/>
            <w:shd w:val="clear" w:color="auto" w:fill="auto"/>
            <w:noWrap w:val="0"/>
            <w:vAlign w:val="center"/>
          </w:tcPr>
          <w:p>
            <w:pPr>
              <w:jc w:val="center"/>
              <w:rPr>
                <w:rFonts w:hint="eastAsia" w:ascii="宋体" w:hAnsi="宋体" w:cs="Arial"/>
                <w:sz w:val="24"/>
              </w:rPr>
            </w:pPr>
            <w:r>
              <w:rPr>
                <w:rFonts w:hint="eastAsia" w:ascii="宋体" w:hAnsi="宋体" w:cs="Arial"/>
                <w:sz w:val="24"/>
              </w:rPr>
              <w:t>1</w:t>
            </w:r>
          </w:p>
        </w:tc>
        <w:tc>
          <w:tcPr>
            <w:tcW w:w="1124" w:type="dxa"/>
            <w:shd w:val="clear" w:color="auto" w:fill="auto"/>
            <w:noWrap w:val="0"/>
            <w:vAlign w:val="center"/>
          </w:tcPr>
          <w:p>
            <w:pPr>
              <w:jc w:val="center"/>
              <w:rPr>
                <w:rFonts w:ascii="宋体" w:hAnsi="宋体" w:cs="Arial"/>
                <w:sz w:val="18"/>
                <w:szCs w:val="18"/>
              </w:rPr>
            </w:pPr>
            <w:r>
              <w:rPr>
                <w:rFonts w:hint="eastAsia" w:ascii="宋体" w:hAnsi="宋体" w:cs="Arial"/>
                <w:sz w:val="18"/>
                <w:szCs w:val="18"/>
              </w:rPr>
              <w:t>产品需求</w:t>
            </w:r>
          </w:p>
        </w:tc>
        <w:tc>
          <w:tcPr>
            <w:tcW w:w="1344" w:type="dxa"/>
            <w:shd w:val="clear" w:color="auto" w:fill="auto"/>
            <w:noWrap w:val="0"/>
            <w:vAlign w:val="center"/>
          </w:tcPr>
          <w:p>
            <w:pPr>
              <w:jc w:val="center"/>
              <w:rPr>
                <w:rFonts w:ascii="宋体" w:hAnsi="宋体" w:cs="Arial"/>
                <w:sz w:val="18"/>
                <w:szCs w:val="18"/>
              </w:rPr>
            </w:pPr>
            <w:r>
              <w:rPr>
                <w:rFonts w:hint="eastAsia" w:ascii="宋体" w:hAnsi="宋体" w:cs="Arial"/>
                <w:sz w:val="18"/>
                <w:szCs w:val="18"/>
              </w:rPr>
              <w:t>配置要求</w:t>
            </w:r>
          </w:p>
        </w:tc>
        <w:tc>
          <w:tcPr>
            <w:tcW w:w="5346" w:type="dxa"/>
            <w:shd w:val="clear" w:color="auto" w:fill="auto"/>
            <w:noWrap w:val="0"/>
            <w:vAlign w:val="center"/>
          </w:tcPr>
          <w:p>
            <w:pPr>
              <w:widowControl/>
              <w:spacing w:line="240" w:lineRule="atLeast"/>
              <w:rPr>
                <w:rFonts w:ascii="微软雅黑" w:hAnsi="微软雅黑" w:eastAsia="微软雅黑"/>
                <w:sz w:val="18"/>
                <w:szCs w:val="18"/>
              </w:rPr>
            </w:pPr>
            <w:r>
              <w:rPr>
                <w:rFonts w:hint="eastAsia"/>
                <w:color w:val="000000"/>
                <w:sz w:val="18"/>
                <w:szCs w:val="18"/>
              </w:rPr>
              <w:t xml:space="preserve">高级应用防火墙吞吐量 ≥ </w:t>
            </w:r>
            <w:r>
              <w:rPr>
                <w:rFonts w:hint="eastAsia" w:ascii="微软雅黑" w:hAnsi="微软雅黑" w:eastAsia="微软雅黑"/>
                <w:sz w:val="18"/>
                <w:szCs w:val="18"/>
              </w:rPr>
              <w:t>6 Gbps；</w:t>
            </w:r>
          </w:p>
          <w:p>
            <w:pPr>
              <w:widowControl/>
              <w:spacing w:line="240" w:lineRule="atLeast"/>
              <w:rPr>
                <w:rFonts w:ascii="微软雅黑" w:hAnsi="微软雅黑" w:eastAsia="微软雅黑"/>
                <w:color w:val="000000"/>
                <w:sz w:val="18"/>
                <w:szCs w:val="18"/>
              </w:rPr>
            </w:pPr>
            <w:r>
              <w:rPr>
                <w:rFonts w:hint="eastAsia"/>
                <w:color w:val="000000"/>
                <w:sz w:val="18"/>
                <w:szCs w:val="18"/>
              </w:rPr>
              <w:t>高级应用防火墙 ＋ 防病毒≥</w:t>
            </w:r>
            <w:r>
              <w:rPr>
                <w:rFonts w:ascii="微软雅黑" w:hAnsi="微软雅黑" w:eastAsia="微软雅黑"/>
                <w:color w:val="000000"/>
                <w:sz w:val="18"/>
                <w:szCs w:val="18"/>
              </w:rPr>
              <w:t>3</w:t>
            </w:r>
            <w:r>
              <w:rPr>
                <w:rFonts w:hint="eastAsia" w:ascii="微软雅黑" w:hAnsi="微软雅黑" w:eastAsia="微软雅黑"/>
                <w:color w:val="000000"/>
                <w:sz w:val="18"/>
                <w:szCs w:val="18"/>
              </w:rPr>
              <w:t xml:space="preserve"> Gbps；</w:t>
            </w:r>
          </w:p>
          <w:p>
            <w:pPr>
              <w:widowControl/>
              <w:spacing w:line="240" w:lineRule="atLeast"/>
              <w:rPr>
                <w:rFonts w:ascii="微软雅黑" w:hAnsi="微软雅黑" w:eastAsia="微软雅黑"/>
                <w:color w:val="000000"/>
                <w:sz w:val="18"/>
                <w:szCs w:val="18"/>
              </w:rPr>
            </w:pPr>
            <w:r>
              <w:rPr>
                <w:rFonts w:hint="eastAsia"/>
                <w:color w:val="000000"/>
                <w:sz w:val="18"/>
                <w:szCs w:val="18"/>
              </w:rPr>
              <w:t xml:space="preserve">高级应用防火墙 ＋ IPS </w:t>
            </w:r>
            <w:r>
              <w:rPr>
                <w:rFonts w:hint="eastAsia" w:cs="Calibri"/>
                <w:kern w:val="0"/>
                <w:sz w:val="18"/>
                <w:szCs w:val="18"/>
              </w:rPr>
              <w:t>+ 虚拟补丁</w:t>
            </w:r>
            <w:r>
              <w:rPr>
                <w:rFonts w:hint="eastAsia"/>
                <w:color w:val="000000"/>
                <w:sz w:val="18"/>
                <w:szCs w:val="18"/>
              </w:rPr>
              <w:t>≥</w:t>
            </w:r>
            <w:r>
              <w:rPr>
                <w:rFonts w:ascii="微软雅黑" w:hAnsi="微软雅黑" w:eastAsia="微软雅黑"/>
                <w:color w:val="000000"/>
                <w:sz w:val="18"/>
                <w:szCs w:val="18"/>
              </w:rPr>
              <w:t>4</w:t>
            </w:r>
            <w:r>
              <w:rPr>
                <w:rFonts w:hint="eastAsia" w:ascii="微软雅黑" w:hAnsi="微软雅黑" w:eastAsia="微软雅黑"/>
                <w:color w:val="000000"/>
                <w:sz w:val="18"/>
                <w:szCs w:val="18"/>
              </w:rPr>
              <w:t xml:space="preserve"> Gbps</w:t>
            </w:r>
          </w:p>
          <w:p>
            <w:pPr>
              <w:widowControl/>
              <w:spacing w:line="240" w:lineRule="atLeast"/>
              <w:rPr>
                <w:rFonts w:ascii="微软雅黑" w:hAnsi="微软雅黑" w:eastAsia="微软雅黑"/>
                <w:color w:val="000000"/>
                <w:sz w:val="18"/>
                <w:szCs w:val="18"/>
              </w:rPr>
            </w:pPr>
            <w:r>
              <w:rPr>
                <w:rFonts w:hint="eastAsia"/>
                <w:color w:val="000000"/>
                <w:sz w:val="18"/>
                <w:szCs w:val="18"/>
              </w:rPr>
              <w:t xml:space="preserve">垃圾邮件+恶意邮件检测 ≥ </w:t>
            </w:r>
            <w:r>
              <w:rPr>
                <w:rFonts w:hint="eastAsia" w:ascii="微软雅黑" w:hAnsi="微软雅黑" w:eastAsia="微软雅黑"/>
                <w:color w:val="000000"/>
                <w:sz w:val="18"/>
                <w:szCs w:val="18"/>
              </w:rPr>
              <w:t>1,500 Mails/分钟</w:t>
            </w:r>
          </w:p>
          <w:p>
            <w:pPr>
              <w:pStyle w:val="20"/>
              <w:rPr>
                <w:color w:val="000000"/>
                <w:sz w:val="18"/>
                <w:szCs w:val="18"/>
              </w:rPr>
            </w:pPr>
            <w:r>
              <w:rPr>
                <w:rFonts w:hint="eastAsia"/>
                <w:color w:val="000000"/>
                <w:sz w:val="18"/>
                <w:szCs w:val="18"/>
              </w:rPr>
              <w:t xml:space="preserve">未知高级威胁对象检测 ≥ </w:t>
            </w:r>
            <w:r>
              <w:rPr>
                <w:rFonts w:hint="eastAsia" w:ascii="微软雅黑" w:hAnsi="微软雅黑" w:eastAsia="微软雅黑"/>
                <w:color w:val="000000"/>
                <w:sz w:val="18"/>
                <w:szCs w:val="18"/>
              </w:rPr>
              <w:t>20,000 Objects/天</w:t>
            </w:r>
          </w:p>
          <w:p>
            <w:pPr>
              <w:pStyle w:val="20"/>
              <w:rPr>
                <w:color w:val="000000"/>
                <w:sz w:val="18"/>
                <w:szCs w:val="18"/>
              </w:rPr>
            </w:pPr>
            <w:r>
              <w:rPr>
                <w:rFonts w:hint="eastAsia"/>
                <w:color w:val="000000"/>
                <w:sz w:val="18"/>
                <w:szCs w:val="18"/>
              </w:rPr>
              <w:t>IPSec吞吐量≥</w:t>
            </w:r>
            <w:r>
              <w:rPr>
                <w:rFonts w:ascii="微软雅黑" w:hAnsi="微软雅黑" w:eastAsia="微软雅黑"/>
                <w:color w:val="000000"/>
                <w:sz w:val="18"/>
                <w:szCs w:val="18"/>
              </w:rPr>
              <w:t>4</w:t>
            </w:r>
            <w:r>
              <w:rPr>
                <w:rFonts w:hint="eastAsia" w:ascii="微软雅黑" w:hAnsi="微软雅黑" w:eastAsia="微软雅黑"/>
                <w:color w:val="000000"/>
                <w:sz w:val="18"/>
                <w:szCs w:val="18"/>
              </w:rPr>
              <w:t xml:space="preserve"> Gbps</w:t>
            </w:r>
          </w:p>
          <w:p>
            <w:pPr>
              <w:pStyle w:val="20"/>
              <w:rPr>
                <w:color w:val="000000"/>
                <w:sz w:val="18"/>
                <w:szCs w:val="18"/>
              </w:rPr>
            </w:pPr>
            <w:r>
              <w:rPr>
                <w:rFonts w:hint="eastAsia"/>
                <w:color w:val="000000"/>
                <w:sz w:val="18"/>
                <w:szCs w:val="18"/>
              </w:rPr>
              <w:t>SSL用户数≥</w:t>
            </w:r>
            <w:r>
              <w:rPr>
                <w:rFonts w:hint="eastAsia" w:ascii="微软雅黑" w:hAnsi="微软雅黑" w:eastAsia="微软雅黑"/>
                <w:color w:val="000000"/>
                <w:sz w:val="18"/>
                <w:szCs w:val="18"/>
              </w:rPr>
              <w:t>500</w:t>
            </w:r>
          </w:p>
          <w:p>
            <w:pPr>
              <w:widowControl/>
              <w:spacing w:line="240" w:lineRule="atLeast"/>
              <w:rPr>
                <w:color w:val="000000"/>
                <w:sz w:val="18"/>
                <w:szCs w:val="18"/>
              </w:rPr>
            </w:pPr>
            <w:r>
              <w:rPr>
                <w:rFonts w:hint="eastAsia"/>
                <w:color w:val="000000"/>
                <w:sz w:val="18"/>
                <w:szCs w:val="18"/>
              </w:rPr>
              <w:t>最大并发会话数≥</w:t>
            </w:r>
            <w:r>
              <w:rPr>
                <w:rFonts w:ascii="微软雅黑" w:hAnsi="微软雅黑" w:eastAsia="微软雅黑"/>
                <w:color w:val="000000"/>
                <w:sz w:val="18"/>
                <w:szCs w:val="18"/>
              </w:rPr>
              <w:t>12</w:t>
            </w:r>
            <w:r>
              <w:rPr>
                <w:rFonts w:hint="eastAsia" w:ascii="微软雅黑" w:hAnsi="微软雅黑" w:eastAsia="微软雅黑"/>
                <w:color w:val="000000"/>
                <w:sz w:val="18"/>
                <w:szCs w:val="18"/>
              </w:rPr>
              <w:t>0万</w:t>
            </w:r>
          </w:p>
          <w:p>
            <w:pPr>
              <w:widowControl/>
              <w:spacing w:line="240" w:lineRule="atLeast"/>
              <w:rPr>
                <w:color w:val="000000"/>
                <w:sz w:val="18"/>
                <w:szCs w:val="18"/>
              </w:rPr>
            </w:pPr>
            <w:r>
              <w:rPr>
                <w:rFonts w:hint="eastAsia"/>
                <w:color w:val="000000"/>
                <w:sz w:val="18"/>
                <w:szCs w:val="18"/>
              </w:rPr>
              <w:t>每秒新建会话数≥</w:t>
            </w:r>
            <w:r>
              <w:rPr>
                <w:rFonts w:ascii="微软雅黑" w:hAnsi="微软雅黑" w:eastAsia="微软雅黑"/>
                <w:color w:val="000000"/>
                <w:sz w:val="18"/>
                <w:szCs w:val="18"/>
              </w:rPr>
              <w:t>4</w:t>
            </w:r>
            <w:r>
              <w:rPr>
                <w:rFonts w:hint="eastAsia" w:ascii="微软雅黑" w:hAnsi="微软雅黑" w:eastAsia="微软雅黑"/>
                <w:color w:val="000000"/>
                <w:sz w:val="18"/>
                <w:szCs w:val="18"/>
              </w:rPr>
              <w:t>万</w:t>
            </w:r>
          </w:p>
          <w:p>
            <w:pPr>
              <w:rPr>
                <w:color w:val="000000"/>
                <w:sz w:val="18"/>
                <w:szCs w:val="18"/>
              </w:rPr>
            </w:pPr>
            <w:r>
              <w:rPr>
                <w:rFonts w:hint="eastAsia"/>
                <w:kern w:val="0"/>
                <w:sz w:val="18"/>
                <w:szCs w:val="18"/>
              </w:rPr>
              <w:t>管理接口</w:t>
            </w:r>
            <w:r>
              <w:rPr>
                <w:rFonts w:hint="eastAsia"/>
                <w:color w:val="000000"/>
                <w:sz w:val="18"/>
                <w:szCs w:val="18"/>
              </w:rPr>
              <w:t>≥</w:t>
            </w:r>
            <w:r>
              <w:rPr>
                <w:rFonts w:hint="eastAsia" w:ascii="微软雅黑" w:hAnsi="微软雅黑" w:eastAsia="微软雅黑"/>
                <w:sz w:val="18"/>
                <w:szCs w:val="18"/>
              </w:rPr>
              <w:t>1×配置口 ，2×USB 2.0口</w:t>
            </w:r>
          </w:p>
          <w:p>
            <w:pPr>
              <w:rPr>
                <w:kern w:val="0"/>
                <w:sz w:val="18"/>
                <w:szCs w:val="18"/>
              </w:rPr>
            </w:pPr>
            <w:r>
              <w:rPr>
                <w:rFonts w:hint="eastAsia"/>
                <w:kern w:val="0"/>
                <w:sz w:val="18"/>
                <w:szCs w:val="18"/>
              </w:rPr>
              <w:t>网络接口</w:t>
            </w:r>
            <w:r>
              <w:rPr>
                <w:rFonts w:hint="eastAsia"/>
                <w:color w:val="000000"/>
                <w:sz w:val="18"/>
                <w:szCs w:val="18"/>
              </w:rPr>
              <w:t>≥</w:t>
            </w:r>
            <w:r>
              <w:rPr>
                <w:rFonts w:hint="eastAsia" w:ascii="微软雅黑" w:hAnsi="微软雅黑" w:eastAsia="微软雅黑"/>
                <w:sz w:val="18"/>
                <w:szCs w:val="18"/>
              </w:rPr>
              <w:t>6×千兆电口（带2组bypass）</w:t>
            </w:r>
          </w:p>
          <w:p>
            <w:pPr>
              <w:rPr>
                <w:kern w:val="0"/>
                <w:sz w:val="18"/>
                <w:szCs w:val="18"/>
              </w:rPr>
            </w:pPr>
            <w:r>
              <w:rPr>
                <w:rFonts w:hint="eastAsia"/>
                <w:kern w:val="0"/>
                <w:sz w:val="18"/>
                <w:szCs w:val="18"/>
              </w:rPr>
              <w:t>可扩展接口</w:t>
            </w:r>
            <w:r>
              <w:rPr>
                <w:rFonts w:hint="eastAsia"/>
                <w:color w:val="000000"/>
                <w:sz w:val="18"/>
                <w:szCs w:val="18"/>
              </w:rPr>
              <w:t>≥</w:t>
            </w:r>
            <w:r>
              <w:rPr>
                <w:rFonts w:hint="eastAsia" w:ascii="微软雅黑" w:hAnsi="微软雅黑" w:eastAsia="微软雅黑"/>
                <w:sz w:val="18"/>
                <w:szCs w:val="18"/>
              </w:rPr>
              <w:t>4×千兆电口 或4×千兆光口或2×万兆光</w:t>
            </w:r>
          </w:p>
          <w:p>
            <w:pPr>
              <w:widowControl/>
              <w:spacing w:line="240" w:lineRule="atLeast"/>
              <w:rPr>
                <w:rFonts w:ascii="微软雅黑" w:hAnsi="微软雅黑" w:eastAsia="微软雅黑"/>
                <w:sz w:val="18"/>
                <w:szCs w:val="18"/>
              </w:rPr>
            </w:pPr>
            <w:r>
              <w:rPr>
                <w:rFonts w:hint="eastAsia"/>
                <w:kern w:val="0"/>
                <w:sz w:val="18"/>
                <w:szCs w:val="18"/>
              </w:rPr>
              <w:t>电源</w:t>
            </w:r>
            <w:r>
              <w:rPr>
                <w:rFonts w:hint="eastAsia"/>
                <w:color w:val="000000"/>
                <w:sz w:val="18"/>
                <w:szCs w:val="18"/>
              </w:rPr>
              <w:t>≥</w:t>
            </w:r>
            <w:r>
              <w:rPr>
                <w:rFonts w:hint="eastAsia"/>
                <w:kern w:val="0"/>
                <w:sz w:val="18"/>
                <w:szCs w:val="18"/>
              </w:rPr>
              <w:t xml:space="preserve"> </w:t>
            </w:r>
            <w:r>
              <w:rPr>
                <w:rFonts w:hint="eastAsia" w:ascii="微软雅黑" w:hAnsi="微软雅黑" w:eastAsia="微软雅黑"/>
                <w:sz w:val="18"/>
                <w:szCs w:val="18"/>
              </w:rPr>
              <w:t>250W单电源，可更换冗余电源</w:t>
            </w:r>
          </w:p>
          <w:p>
            <w:pPr>
              <w:widowControl/>
              <w:spacing w:line="240" w:lineRule="atLeast"/>
              <w:rPr>
                <w:rFonts w:ascii="宋体" w:hAnsi="宋体" w:cs="Calibri"/>
                <w:b/>
                <w:kern w:val="0"/>
                <w:sz w:val="18"/>
                <w:szCs w:val="18"/>
              </w:rPr>
            </w:pPr>
            <w:r>
              <w:rPr>
                <w:rFonts w:hint="eastAsia" w:ascii="宋体" w:hAnsi="宋体"/>
                <w:kern w:val="0"/>
                <w:sz w:val="18"/>
                <w:szCs w:val="18"/>
              </w:rPr>
              <w:t xml:space="preserve">★ </w:t>
            </w:r>
            <w:r>
              <w:rPr>
                <w:rFonts w:hint="eastAsia" w:ascii="微软雅黑" w:hAnsi="微软雅黑" w:eastAsia="微软雅黑"/>
                <w:b/>
                <w:sz w:val="18"/>
                <w:szCs w:val="18"/>
              </w:rPr>
              <w:t>要求全部功能开放授权，客户按需配置；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restart"/>
            <w:noWrap w:val="0"/>
            <w:vAlign w:val="center"/>
          </w:tcPr>
          <w:p>
            <w:pPr>
              <w:jc w:val="center"/>
              <w:rPr>
                <w:rFonts w:hint="eastAsia" w:ascii="宋体" w:hAnsi="宋体" w:cs="Arial"/>
                <w:sz w:val="18"/>
                <w:szCs w:val="18"/>
              </w:rPr>
            </w:pPr>
            <w:r>
              <w:rPr>
                <w:rFonts w:hint="eastAsia" w:ascii="宋体" w:hAnsi="宋体" w:cs="Arial"/>
                <w:sz w:val="18"/>
                <w:szCs w:val="18"/>
              </w:rPr>
              <w:t>2</w:t>
            </w:r>
          </w:p>
        </w:tc>
        <w:tc>
          <w:tcPr>
            <w:tcW w:w="112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侦测能力</w:t>
            </w:r>
          </w:p>
        </w:tc>
        <w:tc>
          <w:tcPr>
            <w:tcW w:w="1344" w:type="dxa"/>
            <w:noWrap w:val="0"/>
            <w:vAlign w:val="center"/>
          </w:tcPr>
          <w:p>
            <w:pPr>
              <w:jc w:val="center"/>
              <w:rPr>
                <w:rFonts w:ascii="宋体" w:hAnsi="宋体" w:cs="Arial"/>
                <w:sz w:val="18"/>
                <w:szCs w:val="18"/>
              </w:rPr>
            </w:pPr>
            <w:r>
              <w:rPr>
                <w:rFonts w:ascii="宋体" w:hAnsi="宋体" w:cs="Arial"/>
                <w:sz w:val="18"/>
                <w:szCs w:val="18"/>
                <w:lang w:eastAsia="zh-TW"/>
              </w:rPr>
              <w:t>支持</w:t>
            </w:r>
            <w:r>
              <w:rPr>
                <w:rFonts w:hint="eastAsia" w:ascii="宋体" w:hAnsi="宋体" w:cs="Arial"/>
                <w:sz w:val="18"/>
                <w:szCs w:val="18"/>
              </w:rPr>
              <w:t>协议</w:t>
            </w:r>
          </w:p>
        </w:tc>
        <w:tc>
          <w:tcPr>
            <w:tcW w:w="5346" w:type="dxa"/>
            <w:noWrap w:val="0"/>
            <w:vAlign w:val="center"/>
          </w:tcPr>
          <w:p>
            <w:pPr>
              <w:jc w:val="left"/>
              <w:rPr>
                <w:rFonts w:ascii="宋体" w:hAnsi="宋体" w:cs="Arial"/>
                <w:sz w:val="18"/>
                <w:szCs w:val="18"/>
                <w:lang w:eastAsia="zh-TW"/>
              </w:rPr>
            </w:pPr>
            <w:r>
              <w:rPr>
                <w:rFonts w:hint="eastAsia" w:ascii="宋体" w:hAnsi="宋体" w:cs="Arial"/>
                <w:sz w:val="18"/>
                <w:szCs w:val="18"/>
              </w:rPr>
              <w:t>协议</w:t>
            </w:r>
            <w:r>
              <w:rPr>
                <w:rFonts w:ascii="宋体" w:hAnsi="宋体" w:cs="Arial"/>
                <w:sz w:val="18"/>
                <w:szCs w:val="18"/>
                <w:lang w:eastAsia="zh-TW"/>
              </w:rPr>
              <w:t>支持</w:t>
            </w:r>
            <w:r>
              <w:rPr>
                <w:rFonts w:hint="eastAsia" w:ascii="宋体" w:hAnsi="宋体" w:cs="Arial"/>
                <w:sz w:val="18"/>
                <w:szCs w:val="18"/>
              </w:rPr>
              <w:t xml:space="preserve"> ≥ </w:t>
            </w:r>
            <w:r>
              <w:rPr>
                <w:rFonts w:hint="eastAsia" w:ascii="宋体" w:hAnsi="宋体" w:cs="Arial"/>
                <w:sz w:val="18"/>
                <w:szCs w:val="18"/>
                <w:lang w:eastAsia="zh-TW"/>
              </w:rPr>
              <w:t>10</w:t>
            </w:r>
            <w:r>
              <w:rPr>
                <w:rFonts w:ascii="宋体" w:hAnsi="宋体" w:cs="Arial"/>
                <w:sz w:val="18"/>
                <w:szCs w:val="18"/>
                <w:lang w:eastAsia="zh-TW"/>
              </w:rPr>
              <w:t>0</w:t>
            </w:r>
            <w:r>
              <w:rPr>
                <w:rFonts w:hint="eastAsia" w:ascii="宋体" w:hAnsi="宋体" w:cs="Arial"/>
                <w:sz w:val="18"/>
                <w:szCs w:val="18"/>
              </w:rPr>
              <w:t>种</w:t>
            </w:r>
            <w:r>
              <w:rPr>
                <w:rFonts w:hint="eastAsia" w:ascii="宋体" w:hAnsi="宋体" w:cs="Arial"/>
                <w:sz w:val="18"/>
                <w:szCs w:val="18"/>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应用防火墙</w:t>
            </w: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lang w:eastAsia="zh-TW"/>
              </w:rPr>
            </w:pPr>
            <w:r>
              <w:rPr>
                <w:rFonts w:hint="eastAsia" w:ascii="宋体" w:hAnsi="宋体" w:cs="Arial"/>
                <w:sz w:val="18"/>
                <w:szCs w:val="18"/>
              </w:rPr>
              <w:t>二至七层全协议应用</w:t>
            </w:r>
            <w:r>
              <w:rPr>
                <w:rFonts w:hint="eastAsia" w:ascii="宋体" w:hAnsi="宋体"/>
                <w:sz w:val="18"/>
                <w:szCs w:val="18"/>
              </w:rPr>
              <w:t>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trike/>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用户及终端管理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trike/>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lang w:eastAsia="zh-TW"/>
              </w:rPr>
            </w:pPr>
            <w:r>
              <w:rPr>
                <w:rFonts w:hint="eastAsia" w:ascii="宋体" w:hAnsi="宋体"/>
                <w:sz w:val="18"/>
                <w:szCs w:val="18"/>
              </w:rPr>
              <w:t xml:space="preserve">应用识别及管理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trike/>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带宽管理及控制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trike/>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 xml:space="preserve">防DoS/DDoS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防恶意软件</w:t>
            </w: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防已知恶意软件</w:t>
            </w:r>
            <w:r>
              <w:rPr>
                <w:rFonts w:ascii="宋体" w:hAnsi="宋体"/>
                <w:sz w:val="18"/>
                <w:szCs w:val="18"/>
              </w:rPr>
              <w:t xml:space="preserve"> (</w:t>
            </w:r>
            <w:r>
              <w:rPr>
                <w:rFonts w:hint="eastAsia" w:ascii="宋体" w:hAnsi="宋体"/>
                <w:sz w:val="18"/>
                <w:szCs w:val="18"/>
              </w:rPr>
              <w:t>病毒、木马、蠕虫、后门、间谍软件、灰色软件、</w:t>
            </w:r>
            <w:r>
              <w:rPr>
                <w:rFonts w:ascii="宋体" w:hAnsi="宋体" w:cs="Arial"/>
                <w:sz w:val="18"/>
                <w:szCs w:val="18"/>
              </w:rPr>
              <w:t>Rootkits</w:t>
            </w:r>
            <w:r>
              <w:rPr>
                <w:rFonts w:hint="eastAsia" w:ascii="宋体" w:hAnsi="宋体"/>
                <w:sz w:val="18"/>
                <w:szCs w:val="18"/>
              </w:rPr>
              <w:t>等</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防未知高级恶意程序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restart"/>
            <w:noWrap w:val="0"/>
            <w:vAlign w:val="center"/>
          </w:tcPr>
          <w:p>
            <w:pPr>
              <w:jc w:val="center"/>
              <w:rPr>
                <w:rFonts w:ascii="宋体" w:hAnsi="宋体" w:cs="Arial"/>
                <w:sz w:val="18"/>
                <w:szCs w:val="18"/>
              </w:rPr>
            </w:pPr>
            <w:r>
              <w:rPr>
                <w:rFonts w:ascii="宋体" w:hAnsi="宋体" w:cs="Arial"/>
                <w:sz w:val="18"/>
                <w:szCs w:val="18"/>
              </w:rPr>
              <w:t>APT</w:t>
            </w:r>
            <w:r>
              <w:rPr>
                <w:rFonts w:hint="eastAsia" w:ascii="宋体" w:hAnsi="宋体" w:cs="Arial"/>
                <w:sz w:val="18"/>
                <w:szCs w:val="18"/>
              </w:rPr>
              <w:t>防护</w:t>
            </w: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C&amp;C违规外联及僵尸网络检测及拦截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已知文档漏洞检测及拦截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未知文档漏洞及零日文档漏洞检测及拦截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可与APT增强侦测模块TDA联动，获取APT增强侦测模块TDA侦测到的本地C&amp;C黑名单，并阻止C&amp;C违规外联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可提交可疑文件、URL、IP及域对象至APT增强定制化沙箱模块DDAn做联动分析，并根据DDAn的分析结果做进一步处理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NSS Labs 2014和2015年入侵外泄侦测系统评测最高安全“推荐”评价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ICSA Labs认证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2015年侦测到的未批露漏洞不少于26个，零日漏洞不少于11个,需提供CVE编号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Calibri"/>
                <w:strike/>
                <w:kern w:val="0"/>
                <w:sz w:val="18"/>
                <w:szCs w:val="18"/>
              </w:rPr>
            </w:pPr>
            <w:r>
              <w:rPr>
                <w:rFonts w:hint="eastAsia" w:ascii="宋体" w:hAnsi="宋体" w:cs="Calibri"/>
                <w:kern w:val="0"/>
                <w:sz w:val="18"/>
                <w:szCs w:val="18"/>
              </w:rPr>
              <w:t>入侵检测</w:t>
            </w:r>
          </w:p>
          <w:p>
            <w:pPr>
              <w:jc w:val="center"/>
              <w:rPr>
                <w:rFonts w:ascii="宋体" w:hAnsi="宋体"/>
                <w:sz w:val="18"/>
                <w:szCs w:val="18"/>
              </w:rPr>
            </w:pPr>
            <w:r>
              <w:rPr>
                <w:rFonts w:hint="eastAsia" w:ascii="宋体" w:hAnsi="宋体" w:cs="Calibri"/>
                <w:kern w:val="0"/>
                <w:sz w:val="18"/>
                <w:szCs w:val="18"/>
              </w:rPr>
              <w:t>及虚拟补丁</w:t>
            </w:r>
          </w:p>
        </w:tc>
        <w:tc>
          <w:tcPr>
            <w:tcW w:w="5346" w:type="dxa"/>
            <w:noWrap w:val="0"/>
            <w:vAlign w:val="center"/>
          </w:tcPr>
          <w:p>
            <w:pPr>
              <w:rPr>
                <w:rFonts w:ascii="宋体" w:hAnsi="宋体" w:cs="Arial"/>
                <w:sz w:val="18"/>
                <w:szCs w:val="18"/>
              </w:rPr>
            </w:pPr>
            <w:r>
              <w:rPr>
                <w:rFonts w:hint="eastAsia" w:ascii="宋体" w:hAnsi="宋体" w:cs="Arial"/>
                <w:sz w:val="18"/>
                <w:szCs w:val="18"/>
              </w:rPr>
              <w:t>服务器及终端虚拟补丁和主动式主机入侵防御系统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Calibri"/>
                <w:kern w:val="0"/>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防止漏洞利用和</w:t>
            </w:r>
            <w:r>
              <w:rPr>
                <w:rFonts w:ascii="宋体" w:hAnsi="宋体" w:cs="Arial"/>
                <w:sz w:val="18"/>
                <w:szCs w:val="18"/>
              </w:rPr>
              <w:t>SQL</w:t>
            </w:r>
            <w:r>
              <w:rPr>
                <w:rFonts w:hint="eastAsia" w:ascii="宋体" w:hAnsi="宋体" w:cs="Arial"/>
                <w:sz w:val="18"/>
                <w:szCs w:val="18"/>
              </w:rPr>
              <w:t>注入</w:t>
            </w:r>
            <w:r>
              <w:rPr>
                <w:rFonts w:ascii="宋体" w:hAnsi="宋体" w:cs="Arial"/>
                <w:sz w:val="18"/>
                <w:szCs w:val="18"/>
              </w:rPr>
              <w:t xml:space="preserve">, </w:t>
            </w:r>
            <w:r>
              <w:rPr>
                <w:rFonts w:hint="eastAsia" w:ascii="宋体" w:hAnsi="宋体" w:cs="Arial"/>
                <w:sz w:val="18"/>
                <w:szCs w:val="18"/>
              </w:rPr>
              <w:t>命令注入</w:t>
            </w:r>
            <w:r>
              <w:rPr>
                <w:rFonts w:ascii="宋体" w:hAnsi="宋体" w:cs="Arial"/>
                <w:sz w:val="18"/>
                <w:szCs w:val="18"/>
              </w:rPr>
              <w:t xml:space="preserve">, Webshell </w:t>
            </w:r>
            <w:r>
              <w:rPr>
                <w:rFonts w:hint="eastAsia" w:ascii="宋体" w:hAnsi="宋体" w:cs="Arial"/>
                <w:sz w:val="18"/>
                <w:szCs w:val="18"/>
              </w:rPr>
              <w:t>攻击</w:t>
            </w:r>
            <w:r>
              <w:rPr>
                <w:rFonts w:ascii="宋体" w:hAnsi="宋体" w:cs="Arial"/>
                <w:sz w:val="18"/>
                <w:szCs w:val="18"/>
              </w:rPr>
              <w:t>,</w:t>
            </w:r>
            <w:r>
              <w:rPr>
                <w:rFonts w:hint="eastAsia" w:ascii="宋体" w:hAnsi="宋体" w:cs="Arial"/>
                <w:sz w:val="18"/>
                <w:szCs w:val="18"/>
              </w:rPr>
              <w:t xml:space="preserve"> </w:t>
            </w:r>
            <w:r>
              <w:rPr>
                <w:rFonts w:ascii="宋体" w:hAnsi="宋体" w:cs="Arial"/>
                <w:sz w:val="18"/>
                <w:szCs w:val="18"/>
              </w:rPr>
              <w:t xml:space="preserve">XSS </w:t>
            </w:r>
            <w:r>
              <w:rPr>
                <w:rFonts w:hint="eastAsia" w:ascii="宋体" w:hAnsi="宋体" w:cs="Arial"/>
                <w:sz w:val="18"/>
                <w:szCs w:val="18"/>
              </w:rPr>
              <w:t>攻击</w:t>
            </w:r>
            <w:r>
              <w:rPr>
                <w:rFonts w:ascii="宋体" w:hAnsi="宋体" w:cs="Arial"/>
                <w:sz w:val="18"/>
                <w:szCs w:val="18"/>
              </w:rPr>
              <w:t xml:space="preserve">, CSRF </w:t>
            </w:r>
            <w:r>
              <w:rPr>
                <w:rFonts w:hint="eastAsia" w:ascii="宋体" w:hAnsi="宋体" w:cs="Arial"/>
                <w:sz w:val="18"/>
                <w:szCs w:val="18"/>
              </w:rPr>
              <w:t>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主机零日漏洞防护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入侵检测特征库 ≥ 5,000条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配置虚拟补丁功能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VPN</w:t>
            </w: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lang w:eastAsia="zh-TW"/>
              </w:rPr>
            </w:pPr>
            <w:r>
              <w:rPr>
                <w:rFonts w:hint="eastAsia" w:ascii="宋体" w:hAnsi="宋体"/>
                <w:sz w:val="18"/>
                <w:szCs w:val="18"/>
              </w:rPr>
              <w:t>站点到站点</w:t>
            </w:r>
            <w:r>
              <w:rPr>
                <w:rFonts w:ascii="宋体" w:hAnsi="宋体"/>
                <w:sz w:val="18"/>
                <w:szCs w:val="18"/>
              </w:rPr>
              <w:t xml:space="preserve"> VPN (Site-to-site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sz w:val="18"/>
                <w:szCs w:val="18"/>
              </w:rPr>
              <w:t>PPTP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sz w:val="18"/>
                <w:szCs w:val="18"/>
              </w:rPr>
              <w:t>SSL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autoSpaceDE w:val="0"/>
              <w:autoSpaceDN w:val="0"/>
              <w:adjustRightInd w:val="0"/>
              <w:jc w:val="left"/>
              <w:rPr>
                <w:rFonts w:ascii="华文细黑" w:eastAsia="华文细黑" w:cs="华文细黑"/>
                <w:color w:val="333333"/>
                <w:kern w:val="0"/>
                <w:sz w:val="18"/>
                <w:szCs w:val="18"/>
              </w:rPr>
            </w:pPr>
            <w:r>
              <w:rPr>
                <w:rFonts w:hint="eastAsia" w:ascii="宋体" w:hAnsi="宋体"/>
                <w:sz w:val="18"/>
                <w:szCs w:val="18"/>
              </w:rPr>
              <w:t>支持移动</w:t>
            </w:r>
            <w:r>
              <w:rPr>
                <w:rFonts w:hint="eastAsia" w:ascii="宋体" w:hAnsi="宋体" w:cs="Arial"/>
                <w:sz w:val="18"/>
                <w:szCs w:val="18"/>
              </w:rPr>
              <w:t>VPN（支持</w:t>
            </w:r>
            <w:r>
              <w:rPr>
                <w:rFonts w:ascii="宋体" w:hAnsi="宋体" w:cs="Arial"/>
                <w:sz w:val="18"/>
                <w:szCs w:val="18"/>
              </w:rPr>
              <w:t xml:space="preserve"> IOS 5.x+ </w:t>
            </w:r>
            <w:r>
              <w:rPr>
                <w:rFonts w:hint="eastAsia" w:ascii="宋体" w:hAnsi="宋体" w:cs="Arial"/>
                <w:sz w:val="18"/>
                <w:szCs w:val="18"/>
              </w:rPr>
              <w:t>及</w:t>
            </w:r>
            <w:r>
              <w:rPr>
                <w:rFonts w:ascii="宋体" w:hAnsi="宋体" w:cs="Arial"/>
                <w:sz w:val="18"/>
                <w:szCs w:val="18"/>
              </w:rPr>
              <w:t xml:space="preserve"> Android 4.0+ </w:t>
            </w:r>
            <w:r>
              <w:rPr>
                <w:rFonts w:hint="eastAsia" w:ascii="宋体" w:hAnsi="宋体" w:cs="Arial"/>
                <w:sz w:val="18"/>
                <w:szCs w:val="18"/>
              </w:rPr>
              <w:t>移动终端无代理部署）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支持VPN 数据安全过滤，如VPN数据防病毒，VPN数据URL过滤等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支持多WAN/ISP VPN接入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无终端用户数限制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Web安全</w:t>
            </w:r>
          </w:p>
        </w:tc>
        <w:tc>
          <w:tcPr>
            <w:tcW w:w="5346" w:type="dxa"/>
            <w:noWrap w:val="0"/>
            <w:vAlign w:val="center"/>
          </w:tcPr>
          <w:p>
            <w:pPr>
              <w:rPr>
                <w:rFonts w:ascii="宋体" w:hAnsi="宋体" w:cs="Arial"/>
                <w:sz w:val="18"/>
                <w:szCs w:val="18"/>
              </w:rPr>
            </w:pPr>
            <w:r>
              <w:rPr>
                <w:rFonts w:hint="eastAsia" w:ascii="宋体" w:hAnsi="宋体" w:cs="Arial"/>
                <w:sz w:val="18"/>
                <w:szCs w:val="18"/>
              </w:rPr>
              <w:t>URL信誉检测（恶意网站主动实时防御，支持黑白名单，每天十亿网页分析)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URL分类过滤（支持自定义URL分类）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钓鱼网站检测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邮件安全</w:t>
            </w:r>
          </w:p>
        </w:tc>
        <w:tc>
          <w:tcPr>
            <w:tcW w:w="5346" w:type="dxa"/>
            <w:noWrap w:val="0"/>
            <w:vAlign w:val="center"/>
          </w:tcPr>
          <w:p>
            <w:pPr>
              <w:rPr>
                <w:rFonts w:ascii="宋体" w:hAnsi="宋体" w:cs="Arial"/>
                <w:sz w:val="18"/>
                <w:szCs w:val="18"/>
              </w:rPr>
            </w:pPr>
            <w:r>
              <w:rPr>
                <w:rFonts w:hint="eastAsia" w:ascii="宋体" w:hAnsi="宋体" w:cs="Arial"/>
                <w:sz w:val="18"/>
                <w:szCs w:val="18"/>
              </w:rPr>
              <w:t>垃圾邮件检测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恶意邮件检测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支持邮件黑白名单，支持</w:t>
            </w:r>
            <w:r>
              <w:rPr>
                <w:rFonts w:ascii="宋体" w:hAnsi="宋体" w:cs="Arial"/>
                <w:sz w:val="18"/>
                <w:szCs w:val="18"/>
              </w:rPr>
              <w:t>关键字和正则表达式</w:t>
            </w:r>
            <w:r>
              <w:rPr>
                <w:rFonts w:hint="eastAsia" w:ascii="宋体" w:hAnsi="宋体" w:cs="Arial"/>
                <w:sz w:val="18"/>
                <w:szCs w:val="18"/>
              </w:rPr>
              <w:t>内容过滤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支持邮件隔离、带标记转发、记录、清除恶意附件保留邮件正文转发等管理功能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病毒识别码</w:t>
            </w:r>
          </w:p>
        </w:tc>
        <w:tc>
          <w:tcPr>
            <w:tcW w:w="5346" w:type="dxa"/>
            <w:noWrap w:val="0"/>
            <w:vAlign w:val="center"/>
          </w:tcPr>
          <w:p>
            <w:pPr>
              <w:rPr>
                <w:rFonts w:hint="eastAsia" w:ascii="宋体" w:hAnsi="宋体" w:cs="Arial"/>
                <w:sz w:val="18"/>
                <w:szCs w:val="18"/>
              </w:rPr>
            </w:pPr>
            <w:r>
              <w:rPr>
                <w:rFonts w:hint="eastAsia" w:ascii="宋体" w:hAnsi="宋体" w:cs="Arial"/>
                <w:sz w:val="18"/>
                <w:szCs w:val="18"/>
              </w:rPr>
              <w:t xml:space="preserve">病毒识别码 ≥ </w:t>
            </w:r>
            <w:r>
              <w:rPr>
                <w:rFonts w:ascii="宋体" w:hAnsi="宋体" w:cs="Arial"/>
                <w:sz w:val="18"/>
                <w:szCs w:val="18"/>
                <w:lang w:eastAsia="zh-TW"/>
              </w:rPr>
              <w:t>3,000,000</w:t>
            </w:r>
            <w:r>
              <w:rPr>
                <w:rFonts w:hint="eastAsia" w:ascii="宋体" w:hAnsi="宋体" w:cs="Arial"/>
                <w:sz w:val="18"/>
                <w:szCs w:val="18"/>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lang w:eastAsia="zh-TW"/>
              </w:rPr>
            </w:pPr>
            <w:r>
              <w:rPr>
                <w:rFonts w:hint="eastAsia" w:ascii="宋体" w:hAnsi="宋体" w:cs="Arial"/>
                <w:sz w:val="18"/>
                <w:szCs w:val="18"/>
              </w:rPr>
              <w:t>全球病毒实验室+本地病毒实验室支持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本地病毒特征码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应</w:t>
            </w:r>
            <w:r>
              <w:rPr>
                <w:rFonts w:ascii="宋体" w:hAnsi="宋体" w:cs="Arial"/>
                <w:sz w:val="18"/>
                <w:szCs w:val="18"/>
                <w:lang w:eastAsia="zh-TW"/>
              </w:rPr>
              <w:t>用程序</w:t>
            </w:r>
            <w:r>
              <w:rPr>
                <w:rFonts w:hint="eastAsia" w:ascii="宋体" w:hAnsi="宋体" w:cs="Arial"/>
                <w:sz w:val="18"/>
                <w:szCs w:val="18"/>
              </w:rPr>
              <w:t>侦测</w:t>
            </w: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全球应用程序协议支持</w:t>
            </w:r>
            <w:r>
              <w:rPr>
                <w:rFonts w:hint="eastAsia" w:ascii="宋体" w:hAnsi="宋体" w:cs="Arial"/>
                <w:sz w:val="18"/>
                <w:szCs w:val="18"/>
              </w:rPr>
              <w:t xml:space="preserve">≥ </w:t>
            </w:r>
            <w:r>
              <w:rPr>
                <w:rFonts w:hint="eastAsia" w:ascii="宋体" w:hAnsi="宋体" w:cs="Calibri"/>
                <w:kern w:val="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lang w:eastAsia="zh-TW"/>
              </w:rPr>
            </w:pPr>
            <w:r>
              <w:rPr>
                <w:rFonts w:hint="eastAsia" w:ascii="宋体" w:hAnsi="宋体" w:cs="Calibri"/>
                <w:kern w:val="0"/>
                <w:sz w:val="18"/>
                <w:szCs w:val="18"/>
              </w:rPr>
              <w:t>点对点</w:t>
            </w:r>
            <w:r>
              <w:rPr>
                <w:rFonts w:ascii="宋体" w:hAnsi="宋体" w:cs="Calibri"/>
                <w:kern w:val="0"/>
                <w:sz w:val="18"/>
                <w:szCs w:val="18"/>
              </w:rPr>
              <w:t xml:space="preserve"> (P2P) </w:t>
            </w:r>
            <w:r>
              <w:rPr>
                <w:rFonts w:hint="eastAsia" w:ascii="宋体" w:hAnsi="宋体" w:cs="Calibri"/>
                <w:kern w:val="0"/>
                <w:sz w:val="18"/>
                <w:szCs w:val="18"/>
              </w:rPr>
              <w:t>软件控制</w:t>
            </w:r>
            <w:r>
              <w:rPr>
                <w:rFonts w:hint="eastAsia" w:ascii="宋体" w:hAnsi="宋体" w:cs="Calibri"/>
                <w:kern w:val="0"/>
                <w:sz w:val="18"/>
                <w:szCs w:val="18"/>
                <w:lang w:eastAsia="zh-TW"/>
              </w:rPr>
              <w:t xml:space="preserve">: </w:t>
            </w:r>
            <w:r>
              <w:rPr>
                <w:rFonts w:ascii="宋体" w:hAnsi="宋体" w:cs="Arial"/>
                <w:sz w:val="18"/>
                <w:szCs w:val="18"/>
                <w:lang w:eastAsia="zh-TW"/>
              </w:rPr>
              <w:t>Ares,Bittorent,Blubster,eDonkey,Kazaa,Gnutella,Winny,Foxy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ascii="宋体" w:hAnsi="宋体" w:cs="Calibri"/>
                <w:kern w:val="0"/>
                <w:sz w:val="18"/>
                <w:szCs w:val="18"/>
              </w:rPr>
              <w:t>IM</w:t>
            </w:r>
            <w:r>
              <w:rPr>
                <w:rFonts w:hint="eastAsia" w:ascii="宋体" w:hAnsi="宋体" w:cs="Calibri"/>
                <w:kern w:val="0"/>
                <w:sz w:val="18"/>
                <w:szCs w:val="18"/>
              </w:rPr>
              <w:t>软件登陆及文件控制:</w:t>
            </w:r>
            <w:r>
              <w:rPr>
                <w:rFonts w:ascii="宋体" w:hAnsi="宋体" w:cs="Arial"/>
                <w:sz w:val="18"/>
                <w:szCs w:val="18"/>
                <w:lang w:eastAsia="zh-TW"/>
              </w:rPr>
              <w:t xml:space="preserve"> AIM,Goggle Talk,MSN,Skype,Yahoo messenger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网络游戏控制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股票软件控制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ascii="宋体" w:hAnsi="宋体" w:cs="Arial"/>
                <w:sz w:val="18"/>
                <w:szCs w:val="18"/>
              </w:rPr>
              <w:t>流媒體</w:t>
            </w:r>
            <w:r>
              <w:rPr>
                <w:rFonts w:hint="eastAsia" w:ascii="宋体" w:hAnsi="宋体" w:cs="Arial"/>
                <w:sz w:val="18"/>
                <w:szCs w:val="18"/>
              </w:rPr>
              <w:t>/</w:t>
            </w:r>
            <w:r>
              <w:rPr>
                <w:rFonts w:hint="eastAsia" w:ascii="宋体" w:hAnsi="宋体" w:cs="Calibri"/>
                <w:kern w:val="0"/>
                <w:sz w:val="18"/>
                <w:szCs w:val="18"/>
              </w:rPr>
              <w:t>音频</w:t>
            </w:r>
            <w:r>
              <w:rPr>
                <w:rFonts w:ascii="宋体" w:hAnsi="宋体" w:cs="Calibri"/>
                <w:kern w:val="0"/>
                <w:sz w:val="18"/>
                <w:szCs w:val="18"/>
              </w:rPr>
              <w:t>/</w:t>
            </w:r>
            <w:r>
              <w:rPr>
                <w:rFonts w:hint="eastAsia" w:ascii="宋体" w:hAnsi="宋体" w:cs="Calibri"/>
                <w:kern w:val="0"/>
                <w:sz w:val="18"/>
                <w:szCs w:val="18"/>
              </w:rPr>
              <w:t>视频软件控制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数据库软件控制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文件服务器软件控制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论坛软件控制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邮件软件控制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lang w:eastAsia="zh-TW"/>
              </w:rPr>
            </w:pPr>
            <w:r>
              <w:rPr>
                <w:rFonts w:ascii="宋体" w:hAnsi="宋体" w:cs="Calibri"/>
                <w:kern w:val="0"/>
                <w:sz w:val="18"/>
                <w:szCs w:val="18"/>
              </w:rPr>
              <w:t xml:space="preserve">Microsoft </w:t>
            </w:r>
            <w:r>
              <w:rPr>
                <w:rFonts w:hint="eastAsia" w:ascii="宋体" w:hAnsi="宋体" w:cs="Calibri"/>
                <w:kern w:val="0"/>
                <w:sz w:val="18"/>
                <w:szCs w:val="18"/>
              </w:rPr>
              <w:t>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lang w:eastAsia="zh-TW"/>
              </w:rPr>
            </w:pPr>
            <w:r>
              <w:rPr>
                <w:rFonts w:hint="eastAsia" w:ascii="宋体" w:hAnsi="宋体" w:cs="Calibri"/>
                <w:kern w:val="0"/>
                <w:sz w:val="18"/>
                <w:szCs w:val="18"/>
              </w:rPr>
              <w:t>精简客户端软件控制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ascii="宋体" w:hAnsi="宋体" w:cs="Calibri"/>
                <w:kern w:val="0"/>
                <w:sz w:val="18"/>
                <w:szCs w:val="18"/>
              </w:rPr>
              <w:t>Web</w:t>
            </w:r>
            <w:r>
              <w:rPr>
                <w:rFonts w:hint="eastAsia" w:ascii="宋体" w:hAnsi="宋体" w:cs="Calibri"/>
                <w:kern w:val="0"/>
                <w:sz w:val="18"/>
                <w:szCs w:val="18"/>
              </w:rPr>
              <w:t>应用控制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lang w:eastAsia="zh-TW"/>
              </w:rPr>
            </w:pPr>
            <w:r>
              <w:rPr>
                <w:rFonts w:ascii="宋体" w:hAnsi="宋体" w:cs="Calibri"/>
                <w:kern w:val="0"/>
                <w:sz w:val="18"/>
                <w:szCs w:val="18"/>
              </w:rPr>
              <w:t>Web</w:t>
            </w:r>
            <w:r>
              <w:rPr>
                <w:rFonts w:hint="eastAsia" w:ascii="宋体" w:hAnsi="宋体" w:cs="Calibri"/>
                <w:kern w:val="0"/>
                <w:sz w:val="18"/>
                <w:szCs w:val="18"/>
              </w:rPr>
              <w:t>邮件控制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lang w:eastAsia="zh-TW"/>
              </w:rPr>
            </w:pPr>
            <w:r>
              <w:rPr>
                <w:rFonts w:hint="eastAsia" w:ascii="宋体" w:hAnsi="宋体" w:cs="Calibri"/>
                <w:kern w:val="0"/>
                <w:sz w:val="18"/>
                <w:szCs w:val="18"/>
              </w:rPr>
              <w:t>无界</w:t>
            </w:r>
            <w:r>
              <w:rPr>
                <w:rFonts w:ascii="宋体" w:hAnsi="宋体" w:cs="Calibri"/>
                <w:kern w:val="0"/>
                <w:sz w:val="18"/>
                <w:szCs w:val="18"/>
              </w:rPr>
              <w:t>,</w:t>
            </w:r>
            <w:r>
              <w:rPr>
                <w:rFonts w:hint="eastAsia" w:ascii="宋体" w:hAnsi="宋体" w:cs="Calibri"/>
                <w:kern w:val="0"/>
                <w:sz w:val="18"/>
                <w:szCs w:val="18"/>
              </w:rPr>
              <w:t>自由门软件控制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restart"/>
            <w:noWrap w:val="0"/>
            <w:vAlign w:val="center"/>
          </w:tcPr>
          <w:p>
            <w:pPr>
              <w:spacing w:line="240" w:lineRule="atLeast"/>
              <w:jc w:val="center"/>
              <w:rPr>
                <w:rFonts w:hint="eastAsia" w:ascii="宋体" w:hAnsi="宋体" w:cs="Arial"/>
                <w:sz w:val="18"/>
                <w:szCs w:val="18"/>
              </w:rPr>
            </w:pPr>
            <w:r>
              <w:rPr>
                <w:rFonts w:hint="eastAsia" w:ascii="宋体" w:hAnsi="宋体" w:cs="Arial"/>
                <w:sz w:val="18"/>
                <w:szCs w:val="18"/>
              </w:rPr>
              <w:t>3</w:t>
            </w:r>
          </w:p>
        </w:tc>
        <w:tc>
          <w:tcPr>
            <w:tcW w:w="1124" w:type="dxa"/>
            <w:vMerge w:val="restart"/>
            <w:noWrap w:val="0"/>
            <w:vAlign w:val="center"/>
          </w:tcPr>
          <w:p>
            <w:pPr>
              <w:spacing w:line="240" w:lineRule="atLeast"/>
              <w:jc w:val="center"/>
              <w:rPr>
                <w:rFonts w:ascii="宋体" w:hAnsi="宋体" w:cs="Arial"/>
                <w:sz w:val="18"/>
                <w:szCs w:val="18"/>
              </w:rPr>
            </w:pPr>
            <w:r>
              <w:rPr>
                <w:rFonts w:hint="eastAsia" w:ascii="宋体" w:hAnsi="宋体" w:cs="Arial"/>
                <w:sz w:val="18"/>
                <w:szCs w:val="18"/>
              </w:rPr>
              <w:t>部署与管理</w:t>
            </w: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带宽控制</w:t>
            </w: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支持基于策略（源和用户/目标/通讯类型/时段）的带宽控制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支持上行流量/下行流量的带宽控制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支持最大带宽限制/最小带宽保证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支持带宽服务优先级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终端管理</w:t>
            </w:r>
          </w:p>
        </w:tc>
        <w:tc>
          <w:tcPr>
            <w:tcW w:w="5346" w:type="dxa"/>
            <w:noWrap w:val="0"/>
            <w:vAlign w:val="center"/>
          </w:tcPr>
          <w:p>
            <w:pPr>
              <w:rPr>
                <w:rFonts w:ascii="宋体" w:hAnsi="宋体" w:cs="Arial"/>
                <w:sz w:val="18"/>
                <w:szCs w:val="18"/>
              </w:rPr>
            </w:pPr>
            <w:r>
              <w:rPr>
                <w:rFonts w:hint="eastAsia" w:ascii="宋体" w:hAnsi="宋体" w:cs="Arial"/>
                <w:sz w:val="18"/>
                <w:szCs w:val="18"/>
              </w:rPr>
              <w:t>支持本地用户及LDAP用户（MS</w:t>
            </w:r>
            <w:r>
              <w:rPr>
                <w:rFonts w:ascii="宋体" w:hAnsi="宋体" w:cs="Arial"/>
                <w:sz w:val="18"/>
                <w:szCs w:val="18"/>
              </w:rPr>
              <w:t xml:space="preserve"> Active Directo</w:t>
            </w:r>
            <w:r>
              <w:rPr>
                <w:rFonts w:hint="eastAsia" w:ascii="宋体" w:hAnsi="宋体" w:cs="Arial"/>
                <w:sz w:val="18"/>
                <w:szCs w:val="18"/>
              </w:rPr>
              <w:t>ry及Open LDAP）管理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支持本地用户及LDAP用户认证和识别，支持网页认证及透明认证方式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支持不同用户分组利用策略分类管理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策略支持</w:t>
            </w:r>
          </w:p>
        </w:tc>
        <w:tc>
          <w:tcPr>
            <w:tcW w:w="5346" w:type="dxa"/>
            <w:noWrap w:val="0"/>
            <w:vAlign w:val="center"/>
          </w:tcPr>
          <w:p>
            <w:pPr>
              <w:rPr>
                <w:rFonts w:ascii="宋体" w:hAnsi="宋体" w:cs="Arial"/>
                <w:sz w:val="18"/>
                <w:szCs w:val="18"/>
              </w:rPr>
            </w:pPr>
            <w:r>
              <w:rPr>
                <w:rFonts w:hint="eastAsia" w:ascii="宋体" w:hAnsi="宋体" w:cs="Arial"/>
                <w:sz w:val="18"/>
                <w:szCs w:val="18"/>
              </w:rPr>
              <w:t>针对不同用户分组利用策略分类管理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支持MS AD及Open LDAP用户认证，支持网页认证及透明认证方式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部署</w:t>
            </w:r>
          </w:p>
        </w:tc>
        <w:tc>
          <w:tcPr>
            <w:tcW w:w="5346" w:type="dxa"/>
            <w:noWrap w:val="0"/>
            <w:vAlign w:val="center"/>
          </w:tcPr>
          <w:p>
            <w:pPr>
              <w:rPr>
                <w:rFonts w:ascii="宋体" w:hAnsi="宋体" w:cs="Arial"/>
                <w:sz w:val="18"/>
                <w:szCs w:val="18"/>
              </w:rPr>
            </w:pPr>
            <w:r>
              <w:rPr>
                <w:rFonts w:hint="eastAsia" w:ascii="宋体" w:hAnsi="宋体" w:cs="Arial"/>
                <w:sz w:val="18"/>
                <w:szCs w:val="18"/>
              </w:rPr>
              <w:t>支持</w:t>
            </w:r>
            <w:r>
              <w:rPr>
                <w:rFonts w:hint="eastAsia" w:ascii="宋体" w:hAnsi="宋体" w:cs="Calibri"/>
                <w:kern w:val="0"/>
                <w:sz w:val="18"/>
                <w:szCs w:val="18"/>
              </w:rPr>
              <w:t>桥接模式、路由模式、</w:t>
            </w:r>
            <w:r>
              <w:rPr>
                <w:rFonts w:hint="eastAsia" w:ascii="宋体" w:hAnsi="宋体" w:cs="Arial"/>
                <w:sz w:val="18"/>
                <w:szCs w:val="18"/>
              </w:rPr>
              <w:t>监控</w:t>
            </w:r>
            <w:r>
              <w:rPr>
                <w:rFonts w:hint="eastAsia" w:ascii="宋体" w:hAnsi="宋体" w:cs="Calibri"/>
                <w:kern w:val="0"/>
                <w:sz w:val="18"/>
                <w:szCs w:val="18"/>
              </w:rPr>
              <w:t>模式</w:t>
            </w:r>
            <w:r>
              <w:rPr>
                <w:rFonts w:hint="eastAsia" w:ascii="宋体" w:hAnsi="宋体" w:eastAsia="PMingLiU" w:cs="Calibri"/>
                <w:kern w:val="0"/>
                <w:sz w:val="18"/>
                <w:szCs w:val="18"/>
                <w:lang w:eastAsia="zh-TW"/>
              </w:rPr>
              <w:t xml:space="preserve"> (</w:t>
            </w:r>
            <w:r>
              <w:rPr>
                <w:rFonts w:hint="eastAsia" w:ascii="宋体" w:hAnsi="宋体" w:cs="Arial"/>
                <w:sz w:val="18"/>
                <w:szCs w:val="18"/>
              </w:rPr>
              <w:t>旁路</w:t>
            </w:r>
            <w:r>
              <w:rPr>
                <w:rFonts w:hint="eastAsia" w:ascii="宋体" w:hAnsi="宋体" w:cs="Calibri"/>
                <w:kern w:val="0"/>
                <w:sz w:val="18"/>
                <w:szCs w:val="18"/>
              </w:rPr>
              <w:t>模式</w:t>
            </w:r>
            <w:r>
              <w:rPr>
                <w:rFonts w:hint="eastAsia" w:ascii="宋体" w:hAnsi="宋体" w:eastAsia="PMingLiU" w:cs="Calibri"/>
                <w:kern w:val="0"/>
                <w:sz w:val="18"/>
                <w:szCs w:val="18"/>
                <w:lang w:eastAsia="zh-TW"/>
              </w:rPr>
              <w:t>)</w:t>
            </w:r>
            <w:r>
              <w:rPr>
                <w:rFonts w:hint="eastAsia" w:ascii="宋体" w:hAnsi="宋体" w:cs="Arial"/>
                <w:sz w:val="18"/>
                <w:szCs w:val="18"/>
              </w:rPr>
              <w:t xml:space="preserve"> 、混杂模式（桥接+路由）、多路ISP &amp; WAN模式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lang w:eastAsia="zh-TW"/>
              </w:rPr>
            </w:pPr>
            <w:r>
              <w:rPr>
                <w:rFonts w:hint="eastAsia" w:ascii="宋体" w:hAnsi="宋体" w:cs="Arial"/>
                <w:sz w:val="18"/>
                <w:szCs w:val="18"/>
              </w:rPr>
              <w:t>支持以虚拟设备的方式部署在VMWare、FusionShpere、KVM、Xen、Hyper-V等主流虚拟化平台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管理</w:t>
            </w:r>
          </w:p>
        </w:tc>
        <w:tc>
          <w:tcPr>
            <w:tcW w:w="5346" w:type="dxa"/>
            <w:noWrap w:val="0"/>
            <w:vAlign w:val="center"/>
          </w:tcPr>
          <w:p>
            <w:pPr>
              <w:rPr>
                <w:rFonts w:ascii="宋体" w:hAnsi="宋体" w:cs="Arial"/>
                <w:sz w:val="18"/>
                <w:szCs w:val="18"/>
                <w:lang w:eastAsia="zh-TW"/>
              </w:rPr>
            </w:pPr>
            <w:r>
              <w:rPr>
                <w:rFonts w:ascii="宋体" w:hAnsi="宋体" w:cs="Arial"/>
                <w:sz w:val="18"/>
                <w:szCs w:val="18"/>
              </w:rPr>
              <w:t>Web界面支持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lang w:eastAsia="zh-TW"/>
              </w:rPr>
            </w:pPr>
            <w:r>
              <w:rPr>
                <w:rFonts w:ascii="宋体" w:hAnsi="宋体" w:cs="Arial"/>
                <w:sz w:val="18"/>
                <w:szCs w:val="18"/>
              </w:rPr>
              <w:t>提供命令行</w:t>
            </w:r>
            <w:r>
              <w:rPr>
                <w:rFonts w:hint="eastAsia" w:ascii="宋体" w:hAnsi="宋体" w:cs="Arial"/>
                <w:sz w:val="18"/>
                <w:szCs w:val="18"/>
              </w:rPr>
              <w:t>（CLI）</w:t>
            </w:r>
            <w:r>
              <w:rPr>
                <w:rFonts w:ascii="宋体" w:hAnsi="宋体" w:cs="Arial"/>
                <w:sz w:val="18"/>
                <w:szCs w:val="18"/>
              </w:rPr>
              <w:t>配置模式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ascii="宋体" w:hAnsi="宋体" w:cs="Arial"/>
                <w:sz w:val="18"/>
                <w:szCs w:val="18"/>
              </w:rPr>
              <w:t>提供SSH远程调试模式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SNMP管理支持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noWrap w:val="0"/>
            <w:vAlign w:val="center"/>
          </w:tcPr>
          <w:p>
            <w:pPr>
              <w:jc w:val="center"/>
              <w:rPr>
                <w:rFonts w:ascii="宋体" w:hAnsi="宋体" w:cs="Arial"/>
                <w:sz w:val="18"/>
                <w:szCs w:val="18"/>
                <w:lang w:eastAsia="zh-TW"/>
              </w:rPr>
            </w:pPr>
            <w:r>
              <w:rPr>
                <w:rFonts w:hint="eastAsia" w:ascii="宋体" w:hAnsi="宋体" w:cs="Arial"/>
                <w:sz w:val="18"/>
                <w:szCs w:val="18"/>
              </w:rPr>
              <w:t>语言</w:t>
            </w:r>
            <w:r>
              <w:rPr>
                <w:rFonts w:ascii="宋体" w:hAnsi="宋体" w:cs="Arial"/>
                <w:sz w:val="18"/>
                <w:szCs w:val="18"/>
              </w:rPr>
              <w:t>支持</w:t>
            </w:r>
          </w:p>
        </w:tc>
        <w:tc>
          <w:tcPr>
            <w:tcW w:w="5346" w:type="dxa"/>
            <w:noWrap w:val="0"/>
            <w:vAlign w:val="center"/>
          </w:tcPr>
          <w:p>
            <w:pPr>
              <w:rPr>
                <w:rFonts w:ascii="宋体" w:hAnsi="宋体" w:cs="Arial"/>
                <w:sz w:val="18"/>
                <w:szCs w:val="18"/>
                <w:lang w:eastAsia="zh-TW"/>
              </w:rPr>
            </w:pPr>
            <w:r>
              <w:rPr>
                <w:rFonts w:ascii="宋体" w:hAnsi="宋体" w:cs="Arial"/>
                <w:sz w:val="18"/>
                <w:szCs w:val="18"/>
                <w:lang w:eastAsia="zh-TW"/>
              </w:rPr>
              <w:t>支持中文管理</w:t>
            </w:r>
            <w:r>
              <w:rPr>
                <w:rFonts w:hint="eastAsia" w:ascii="宋体" w:hAnsi="宋体" w:cs="Arial"/>
                <w:sz w:val="18"/>
                <w:szCs w:val="18"/>
              </w:rPr>
              <w:t>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28" w:type="dxa"/>
            <w:vMerge w:val="restart"/>
            <w:noWrap w:val="0"/>
            <w:vAlign w:val="center"/>
          </w:tcPr>
          <w:p>
            <w:pPr>
              <w:jc w:val="center"/>
              <w:rPr>
                <w:rFonts w:hint="eastAsia" w:ascii="宋体" w:hAnsi="宋体" w:cs="Arial"/>
                <w:sz w:val="18"/>
                <w:szCs w:val="18"/>
              </w:rPr>
            </w:pPr>
            <w:r>
              <w:rPr>
                <w:rFonts w:hint="eastAsia" w:ascii="宋体" w:hAnsi="宋体" w:cs="Arial"/>
                <w:sz w:val="18"/>
                <w:szCs w:val="18"/>
              </w:rPr>
              <w:t>4</w:t>
            </w:r>
          </w:p>
        </w:tc>
        <w:tc>
          <w:tcPr>
            <w:tcW w:w="1124" w:type="dxa"/>
            <w:vMerge w:val="restart"/>
            <w:noWrap w:val="0"/>
            <w:vAlign w:val="center"/>
          </w:tcPr>
          <w:p>
            <w:pPr>
              <w:jc w:val="center"/>
              <w:rPr>
                <w:rFonts w:ascii="宋体" w:hAnsi="宋体" w:cs="Arial"/>
                <w:sz w:val="18"/>
                <w:szCs w:val="18"/>
              </w:rPr>
            </w:pPr>
            <w:r>
              <w:rPr>
                <w:rFonts w:hint="eastAsia" w:ascii="宋体" w:hAnsi="宋体" w:cs="Arial"/>
                <w:sz w:val="18"/>
                <w:szCs w:val="18"/>
              </w:rPr>
              <w:t>升级更新</w:t>
            </w:r>
          </w:p>
        </w:tc>
        <w:tc>
          <w:tcPr>
            <w:tcW w:w="1344" w:type="dxa"/>
            <w:noWrap w:val="0"/>
            <w:vAlign w:val="center"/>
          </w:tcPr>
          <w:p>
            <w:pPr>
              <w:jc w:val="center"/>
              <w:rPr>
                <w:rFonts w:ascii="宋体" w:hAnsi="宋体" w:cs="Arial"/>
                <w:sz w:val="18"/>
                <w:szCs w:val="18"/>
                <w:lang w:eastAsia="zh-TW"/>
              </w:rPr>
            </w:pPr>
            <w:r>
              <w:rPr>
                <w:rFonts w:hint="eastAsia" w:ascii="宋体" w:hAnsi="宋体" w:cs="Arial"/>
                <w:sz w:val="18"/>
                <w:szCs w:val="18"/>
              </w:rPr>
              <w:t>升级方式</w:t>
            </w:r>
          </w:p>
        </w:tc>
        <w:tc>
          <w:tcPr>
            <w:tcW w:w="5346" w:type="dxa"/>
            <w:noWrap w:val="0"/>
            <w:vAlign w:val="center"/>
          </w:tcPr>
          <w:p>
            <w:pPr>
              <w:rPr>
                <w:rFonts w:ascii="宋体" w:hAnsi="宋体" w:cs="Arial"/>
                <w:sz w:val="18"/>
                <w:szCs w:val="18"/>
              </w:rPr>
            </w:pPr>
            <w:r>
              <w:rPr>
                <w:rFonts w:hint="eastAsia" w:ascii="宋体" w:hAnsi="宋体" w:cs="Arial"/>
                <w:sz w:val="18"/>
                <w:szCs w:val="18"/>
              </w:rPr>
              <w:t>支持自动</w:t>
            </w:r>
            <w:r>
              <w:rPr>
                <w:rFonts w:ascii="宋体" w:hAnsi="宋体" w:cs="Arial"/>
                <w:sz w:val="18"/>
                <w:szCs w:val="18"/>
              </w:rPr>
              <w:t>/</w:t>
            </w:r>
            <w:r>
              <w:rPr>
                <w:rFonts w:hint="eastAsia" w:ascii="宋体" w:hAnsi="宋体" w:cs="Arial"/>
                <w:sz w:val="18"/>
                <w:szCs w:val="18"/>
              </w:rPr>
              <w:t>手动在线升级，可配置自动升级周期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noWrap w:val="0"/>
            <w:vAlign w:val="center"/>
          </w:tcPr>
          <w:p>
            <w:pPr>
              <w:jc w:val="center"/>
              <w:rPr>
                <w:rFonts w:ascii="宋体" w:hAnsi="宋体" w:cs="Arial"/>
                <w:sz w:val="18"/>
                <w:szCs w:val="18"/>
                <w:lang w:eastAsia="zh-TW"/>
              </w:rPr>
            </w:pPr>
            <w:r>
              <w:rPr>
                <w:rFonts w:hint="eastAsia" w:ascii="宋体" w:hAnsi="宋体" w:cs="Arial"/>
                <w:sz w:val="18"/>
                <w:szCs w:val="18"/>
              </w:rPr>
              <w:t>更新来源</w:t>
            </w:r>
          </w:p>
        </w:tc>
        <w:tc>
          <w:tcPr>
            <w:tcW w:w="5346" w:type="dxa"/>
            <w:noWrap w:val="0"/>
            <w:vAlign w:val="center"/>
          </w:tcPr>
          <w:p>
            <w:pPr>
              <w:rPr>
                <w:rFonts w:ascii="宋体" w:hAnsi="宋体" w:cs="Arial"/>
                <w:sz w:val="18"/>
                <w:szCs w:val="18"/>
                <w:lang w:eastAsia="zh-TW"/>
              </w:rPr>
            </w:pPr>
            <w:r>
              <w:rPr>
                <w:rFonts w:hint="eastAsia" w:ascii="宋体" w:hAnsi="宋体" w:cs="Arial"/>
                <w:sz w:val="18"/>
                <w:szCs w:val="18"/>
              </w:rPr>
              <w:t>全球升级架构以及本地升级源的设计，降低升级带宽使用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28" w:type="dxa"/>
            <w:vMerge w:val="restart"/>
            <w:noWrap w:val="0"/>
            <w:vAlign w:val="center"/>
          </w:tcPr>
          <w:p>
            <w:pPr>
              <w:jc w:val="center"/>
              <w:rPr>
                <w:rFonts w:hint="eastAsia" w:ascii="宋体" w:hAnsi="宋体" w:cs="Arial"/>
                <w:sz w:val="18"/>
                <w:szCs w:val="18"/>
              </w:rPr>
            </w:pPr>
            <w:r>
              <w:rPr>
                <w:rFonts w:hint="eastAsia" w:ascii="宋体" w:hAnsi="宋体" w:cs="Arial"/>
                <w:sz w:val="18"/>
                <w:szCs w:val="18"/>
              </w:rPr>
              <w:t>5</w:t>
            </w:r>
          </w:p>
        </w:tc>
        <w:tc>
          <w:tcPr>
            <w:tcW w:w="112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报告/日志</w:t>
            </w:r>
            <w:r>
              <w:rPr>
                <w:rFonts w:ascii="宋体" w:hAnsi="宋体" w:cs="Arial"/>
                <w:sz w:val="18"/>
                <w:szCs w:val="18"/>
                <w:lang w:eastAsia="zh-TW"/>
              </w:rPr>
              <w:t xml:space="preserve">  </w:t>
            </w: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日志管理</w:t>
            </w:r>
          </w:p>
        </w:tc>
        <w:tc>
          <w:tcPr>
            <w:tcW w:w="5346" w:type="dxa"/>
            <w:noWrap w:val="0"/>
            <w:vAlign w:val="center"/>
          </w:tcPr>
          <w:p>
            <w:pPr>
              <w:rPr>
                <w:rFonts w:ascii="宋体" w:hAnsi="宋体" w:cs="Arial"/>
                <w:sz w:val="18"/>
                <w:szCs w:val="18"/>
              </w:rPr>
            </w:pPr>
            <w:r>
              <w:rPr>
                <w:rFonts w:hint="eastAsia" w:ascii="宋体" w:hAnsi="宋体" w:cs="Arial"/>
                <w:sz w:val="18"/>
                <w:szCs w:val="18"/>
              </w:rPr>
              <w:t>提供安全日志/流量日志/VPN日志/系统日志/审计日志的查询/打印/导出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提供基于策略（源和用户/目标/通讯类型/时段）的流量日志记录/查询/打印/导出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lang w:eastAsia="zh-TW"/>
              </w:rPr>
            </w:pPr>
            <w:r>
              <w:rPr>
                <w:rFonts w:hint="eastAsia" w:ascii="宋体" w:hAnsi="宋体" w:cs="Arial"/>
                <w:sz w:val="18"/>
                <w:szCs w:val="18"/>
              </w:rPr>
              <w:t>可按照时间，协议，威胁类型等查询条件查询日志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w:t>
            </w:r>
            <w:r>
              <w:rPr>
                <w:rFonts w:ascii="宋体" w:hAnsi="宋体" w:cs="Arial"/>
                <w:sz w:val="18"/>
                <w:szCs w:val="18"/>
                <w:lang w:eastAsia="zh-TW"/>
              </w:rPr>
              <w:t>Syslog</w:t>
            </w:r>
            <w:r>
              <w:rPr>
                <w:rFonts w:hint="eastAsia" w:ascii="宋体" w:hAnsi="宋体" w:cs="Arial"/>
                <w:sz w:val="18"/>
                <w:szCs w:val="18"/>
              </w:rPr>
              <w:t>协议，</w:t>
            </w:r>
            <w:r>
              <w:rPr>
                <w:rFonts w:ascii="宋体" w:hAnsi="宋体" w:cs="Arial"/>
                <w:sz w:val="18"/>
                <w:szCs w:val="18"/>
                <w:lang w:eastAsia="zh-TW"/>
              </w:rPr>
              <w:t>可以</w:t>
            </w:r>
            <w:r>
              <w:rPr>
                <w:rFonts w:hint="eastAsia" w:ascii="宋体" w:hAnsi="宋体" w:cs="Arial"/>
                <w:sz w:val="18"/>
                <w:szCs w:val="18"/>
              </w:rPr>
              <w:t>实时传输日志</w:t>
            </w:r>
            <w:r>
              <w:rPr>
                <w:rFonts w:ascii="宋体" w:hAnsi="宋体" w:cs="Arial"/>
                <w:sz w:val="18"/>
                <w:szCs w:val="18"/>
              </w:rPr>
              <w:t>到</w:t>
            </w:r>
            <w:r>
              <w:rPr>
                <w:rFonts w:hint="eastAsia" w:ascii="宋体" w:hAnsi="宋体" w:cs="Arial"/>
                <w:sz w:val="18"/>
                <w:szCs w:val="18"/>
              </w:rPr>
              <w:t>S</w:t>
            </w:r>
            <w:r>
              <w:rPr>
                <w:rFonts w:ascii="宋体" w:hAnsi="宋体" w:cs="Arial"/>
                <w:sz w:val="18"/>
                <w:szCs w:val="18"/>
              </w:rPr>
              <w:t xml:space="preserve">yslog </w:t>
            </w:r>
            <w:r>
              <w:rPr>
                <w:rFonts w:hint="eastAsia" w:ascii="宋体" w:hAnsi="宋体" w:cs="Arial"/>
                <w:sz w:val="18"/>
                <w:szCs w:val="18"/>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报告系统</w:t>
            </w:r>
          </w:p>
        </w:tc>
        <w:tc>
          <w:tcPr>
            <w:tcW w:w="5346" w:type="dxa"/>
            <w:noWrap w:val="0"/>
            <w:vAlign w:val="center"/>
          </w:tcPr>
          <w:p>
            <w:pPr>
              <w:rPr>
                <w:rFonts w:ascii="宋体" w:hAnsi="宋体" w:cs="Arial"/>
                <w:sz w:val="18"/>
                <w:szCs w:val="18"/>
              </w:rPr>
            </w:pPr>
            <w:r>
              <w:rPr>
                <w:rFonts w:hint="eastAsia" w:ascii="宋体" w:hAnsi="宋体" w:cs="Arial"/>
                <w:sz w:val="18"/>
                <w:szCs w:val="18"/>
              </w:rPr>
              <w:t>提供日</w:t>
            </w:r>
            <w:r>
              <w:rPr>
                <w:rFonts w:ascii="宋体" w:hAnsi="宋体" w:cs="Arial"/>
                <w:sz w:val="18"/>
                <w:szCs w:val="18"/>
              </w:rPr>
              <w:t>/</w:t>
            </w:r>
            <w:r>
              <w:rPr>
                <w:rFonts w:hint="eastAsia" w:ascii="宋体" w:hAnsi="宋体" w:cs="Arial"/>
                <w:sz w:val="18"/>
                <w:szCs w:val="18"/>
              </w:rPr>
              <w:t>周</w:t>
            </w:r>
            <w:r>
              <w:rPr>
                <w:rFonts w:ascii="宋体" w:hAnsi="宋体" w:cs="Arial"/>
                <w:sz w:val="18"/>
                <w:szCs w:val="18"/>
              </w:rPr>
              <w:t>/</w:t>
            </w:r>
            <w:r>
              <w:rPr>
                <w:rFonts w:hint="eastAsia" w:ascii="宋体" w:hAnsi="宋体" w:cs="Arial"/>
                <w:sz w:val="18"/>
                <w:szCs w:val="18"/>
              </w:rPr>
              <w:t>月图形化报表，以及实时图形化报表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提供按源用户/源地址生成报告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lang w:eastAsia="zh-TW"/>
              </w:rPr>
            </w:pPr>
            <w:r>
              <w:rPr>
                <w:rFonts w:hint="eastAsia" w:ascii="宋体" w:hAnsi="宋体" w:cs="Arial"/>
                <w:sz w:val="18"/>
                <w:szCs w:val="18"/>
              </w:rPr>
              <w:t>提供恶意软件/垃圾邮件/入侵防御/Web信誉服务违例事件安全报告，前N个用户违例报告，以及按应用程序/URL类别/带宽使用等前N个通信报告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28" w:type="dxa"/>
            <w:vMerge w:val="restart"/>
            <w:noWrap w:val="0"/>
            <w:vAlign w:val="center"/>
          </w:tcPr>
          <w:p>
            <w:pPr>
              <w:jc w:val="center"/>
              <w:rPr>
                <w:rFonts w:hint="eastAsia" w:ascii="宋体" w:hAnsi="宋体" w:cs="Arial"/>
                <w:sz w:val="18"/>
                <w:szCs w:val="18"/>
              </w:rPr>
            </w:pPr>
            <w:r>
              <w:rPr>
                <w:rFonts w:hint="eastAsia" w:ascii="宋体" w:hAnsi="宋体" w:cs="Arial"/>
                <w:sz w:val="18"/>
                <w:szCs w:val="18"/>
              </w:rPr>
              <w:t>6</w:t>
            </w:r>
          </w:p>
        </w:tc>
        <w:tc>
          <w:tcPr>
            <w:tcW w:w="1124" w:type="dxa"/>
            <w:vMerge w:val="restart"/>
            <w:noWrap w:val="0"/>
            <w:vAlign w:val="center"/>
          </w:tcPr>
          <w:p>
            <w:pPr>
              <w:jc w:val="center"/>
              <w:rPr>
                <w:rFonts w:ascii="宋体" w:hAnsi="宋体" w:cs="Arial"/>
                <w:sz w:val="18"/>
                <w:szCs w:val="18"/>
              </w:rPr>
            </w:pPr>
            <w:r>
              <w:rPr>
                <w:rFonts w:hint="eastAsia" w:ascii="宋体" w:hAnsi="宋体" w:cs="Arial"/>
                <w:sz w:val="18"/>
                <w:szCs w:val="18"/>
              </w:rPr>
              <w:t>通知</w:t>
            </w: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通知类别</w:t>
            </w:r>
          </w:p>
        </w:tc>
        <w:tc>
          <w:tcPr>
            <w:tcW w:w="5346" w:type="dxa"/>
            <w:noWrap w:val="0"/>
            <w:vAlign w:val="center"/>
          </w:tcPr>
          <w:p>
            <w:pPr>
              <w:widowControl/>
              <w:spacing w:line="240" w:lineRule="atLeast"/>
              <w:rPr>
                <w:rFonts w:ascii="宋体" w:hAnsi="宋体" w:cs="Arial"/>
                <w:sz w:val="18"/>
                <w:szCs w:val="18"/>
                <w:lang w:eastAsia="zh-TW"/>
              </w:rPr>
            </w:pPr>
            <w:bookmarkStart w:id="31" w:name="event"/>
            <w:r>
              <w:rPr>
                <w:rFonts w:hint="eastAsia" w:ascii="宋体" w:hAnsi="宋体" w:cs="Arial"/>
                <w:sz w:val="18"/>
                <w:szCs w:val="18"/>
              </w:rPr>
              <w:t>URL访问警告通知及URL阻止通知</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line="240" w:lineRule="atLeast"/>
              <w:rPr>
                <w:rFonts w:ascii="宋体" w:hAnsi="宋体" w:cs="Arial"/>
                <w:sz w:val="18"/>
                <w:szCs w:val="18"/>
              </w:rPr>
            </w:pPr>
            <w:r>
              <w:rPr>
                <w:rFonts w:hint="eastAsia" w:ascii="宋体" w:hAnsi="宋体" w:cs="Arial"/>
                <w:sz w:val="18"/>
                <w:szCs w:val="18"/>
              </w:rPr>
              <w:t>安全信息汇总/监控硬件异常/系统资源警告</w:t>
            </w:r>
            <w:bookmarkStart w:id="32" w:name="Update"/>
            <w:r>
              <w:rPr>
                <w:rFonts w:hint="eastAsia" w:ascii="宋体" w:hAnsi="宋体" w:cs="Arial"/>
                <w:sz w:val="18"/>
                <w:szCs w:val="18"/>
              </w:rPr>
              <w:t>/</w:t>
            </w:r>
            <w:r>
              <w:rPr>
                <w:rFonts w:ascii="宋体" w:hAnsi="宋体" w:cs="Arial"/>
                <w:sz w:val="18"/>
                <w:szCs w:val="18"/>
              </w:rPr>
              <w:t>预设更新</w:t>
            </w:r>
            <w:bookmarkEnd w:id="32"/>
            <w:r>
              <w:rPr>
                <w:rFonts w:hint="eastAsia" w:ascii="宋体" w:hAnsi="宋体" w:cs="Arial"/>
                <w:sz w:val="18"/>
                <w:szCs w:val="18"/>
              </w:rPr>
              <w:t>等通知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line="240" w:lineRule="atLeast"/>
              <w:rPr>
                <w:rFonts w:ascii="宋体" w:hAnsi="宋体" w:cs="Arial"/>
                <w:sz w:val="18"/>
                <w:szCs w:val="18"/>
                <w:lang w:eastAsia="zh-TW"/>
              </w:rPr>
            </w:pPr>
            <w:r>
              <w:rPr>
                <w:rFonts w:hint="eastAsia" w:ascii="宋体" w:hAnsi="宋体" w:cs="Arial"/>
                <w:sz w:val="18"/>
                <w:szCs w:val="18"/>
              </w:rPr>
              <w:t>CPU阀值/数据分区阀值/硬盘容量阀值/</w:t>
            </w:r>
            <w:r>
              <w:rPr>
                <w:rFonts w:ascii="宋体" w:hAnsi="宋体" w:cs="Arial"/>
                <w:sz w:val="18"/>
                <w:szCs w:val="18"/>
              </w:rPr>
              <w:t>交换内存</w:t>
            </w:r>
            <w:r>
              <w:rPr>
                <w:rFonts w:hint="eastAsia" w:ascii="宋体" w:hAnsi="宋体" w:cs="Arial"/>
                <w:sz w:val="18"/>
                <w:szCs w:val="18"/>
              </w:rPr>
              <w:t>阀值监视警告等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28" w:type="dxa"/>
            <w:vMerge w:val="restart"/>
            <w:noWrap w:val="0"/>
            <w:vAlign w:val="center"/>
          </w:tcPr>
          <w:p>
            <w:pPr>
              <w:jc w:val="center"/>
              <w:rPr>
                <w:rFonts w:hint="eastAsia" w:ascii="宋体" w:hAnsi="宋体" w:cs="Arial"/>
                <w:sz w:val="18"/>
                <w:szCs w:val="18"/>
              </w:rPr>
            </w:pPr>
            <w:r>
              <w:rPr>
                <w:rFonts w:hint="eastAsia" w:ascii="宋体" w:hAnsi="宋体" w:cs="Arial"/>
                <w:sz w:val="18"/>
                <w:szCs w:val="18"/>
              </w:rPr>
              <w:t>7</w:t>
            </w:r>
          </w:p>
        </w:tc>
        <w:tc>
          <w:tcPr>
            <w:tcW w:w="112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安全</w:t>
            </w:r>
            <w:r>
              <w:rPr>
                <w:rFonts w:ascii="宋体" w:hAnsi="宋体" w:cs="Arial"/>
                <w:sz w:val="18"/>
                <w:szCs w:val="18"/>
              </w:rPr>
              <w:t>/</w:t>
            </w:r>
            <w:r>
              <w:rPr>
                <w:rFonts w:hint="eastAsia" w:ascii="宋体" w:hAnsi="宋体" w:cs="Arial"/>
                <w:sz w:val="18"/>
                <w:szCs w:val="18"/>
              </w:rPr>
              <w:t>可靠性</w:t>
            </w:r>
          </w:p>
        </w:tc>
        <w:tc>
          <w:tcPr>
            <w:tcW w:w="1344" w:type="dxa"/>
            <w:noWrap w:val="0"/>
            <w:vAlign w:val="center"/>
          </w:tcPr>
          <w:p>
            <w:pPr>
              <w:jc w:val="center"/>
              <w:rPr>
                <w:rFonts w:ascii="宋体" w:hAnsi="宋体" w:cs="Arial"/>
                <w:sz w:val="18"/>
                <w:szCs w:val="18"/>
                <w:lang w:eastAsia="zh-TW"/>
              </w:rPr>
            </w:pPr>
            <w:r>
              <w:rPr>
                <w:rFonts w:hint="eastAsia" w:ascii="宋体" w:hAnsi="宋体" w:cs="Arial"/>
                <w:sz w:val="18"/>
                <w:szCs w:val="18"/>
              </w:rPr>
              <w:t>安全性</w:t>
            </w:r>
          </w:p>
        </w:tc>
        <w:tc>
          <w:tcPr>
            <w:tcW w:w="5346" w:type="dxa"/>
            <w:noWrap w:val="0"/>
            <w:vAlign w:val="center"/>
          </w:tcPr>
          <w:p>
            <w:pPr>
              <w:widowControl/>
              <w:spacing w:line="240" w:lineRule="atLeast"/>
              <w:rPr>
                <w:rFonts w:ascii="宋体" w:hAnsi="宋体" w:cs="Arial"/>
                <w:sz w:val="18"/>
                <w:szCs w:val="18"/>
              </w:rPr>
            </w:pPr>
            <w:r>
              <w:rPr>
                <w:rFonts w:hint="eastAsia" w:ascii="宋体" w:hAnsi="宋体" w:cs="Arial"/>
                <w:sz w:val="18"/>
                <w:szCs w:val="18"/>
              </w:rPr>
              <w:t>支持通过加密的</w:t>
            </w:r>
            <w:r>
              <w:rPr>
                <w:rFonts w:ascii="宋体" w:hAnsi="宋体" w:cs="Arial"/>
                <w:sz w:val="18"/>
                <w:szCs w:val="18"/>
              </w:rPr>
              <w:t>SSL</w:t>
            </w:r>
            <w:r>
              <w:rPr>
                <w:rFonts w:hint="eastAsia" w:ascii="宋体" w:hAnsi="宋体" w:cs="Arial"/>
                <w:sz w:val="18"/>
                <w:szCs w:val="18"/>
              </w:rPr>
              <w:t>命令行远程管理、支持通过加密的</w:t>
            </w:r>
            <w:r>
              <w:rPr>
                <w:rFonts w:ascii="宋体" w:hAnsi="宋体" w:cs="Arial"/>
                <w:sz w:val="18"/>
                <w:szCs w:val="18"/>
              </w:rPr>
              <w:t>SSL</w:t>
            </w:r>
            <w:r>
              <w:rPr>
                <w:rFonts w:hint="eastAsia" w:ascii="宋体" w:hAnsi="宋体" w:cs="Arial"/>
                <w:sz w:val="18"/>
                <w:szCs w:val="18"/>
              </w:rPr>
              <w:t>访问管理控制台、支持管理控制台访问控制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可靠性</w:t>
            </w:r>
          </w:p>
        </w:tc>
        <w:tc>
          <w:tcPr>
            <w:tcW w:w="5346" w:type="dxa"/>
            <w:noWrap w:val="0"/>
            <w:vAlign w:val="center"/>
          </w:tcPr>
          <w:p>
            <w:pPr>
              <w:widowControl/>
              <w:spacing w:line="240" w:lineRule="atLeast"/>
              <w:rPr>
                <w:rFonts w:ascii="宋体" w:hAnsi="宋体" w:cs="Arial"/>
                <w:sz w:val="18"/>
                <w:szCs w:val="18"/>
              </w:rPr>
            </w:pPr>
            <w:r>
              <w:rPr>
                <w:rFonts w:hint="eastAsia" w:ascii="宋体" w:hAnsi="宋体" w:cs="Calibri"/>
                <w:kern w:val="0"/>
                <w:sz w:val="18"/>
                <w:szCs w:val="18"/>
              </w:rPr>
              <w:t>系统保证</w:t>
            </w:r>
            <w:r>
              <w:rPr>
                <w:rFonts w:ascii="宋体" w:hAnsi="宋体" w:cs="Calibri"/>
                <w:kern w:val="0"/>
                <w:sz w:val="18"/>
                <w:szCs w:val="18"/>
              </w:rPr>
              <w:t>3</w:t>
            </w:r>
            <w:r>
              <w:rPr>
                <w:rFonts w:hint="eastAsia" w:ascii="宋体" w:hAnsi="宋体" w:cs="Calibri"/>
                <w:kern w:val="0"/>
                <w:sz w:val="18"/>
                <w:szCs w:val="18"/>
              </w:rPr>
              <w:t>6</w:t>
            </w:r>
            <w:r>
              <w:rPr>
                <w:rFonts w:ascii="宋体" w:hAnsi="宋体" w:cs="Calibri"/>
                <w:kern w:val="0"/>
                <w:sz w:val="18"/>
                <w:szCs w:val="18"/>
              </w:rPr>
              <w:t xml:space="preserve"> </w:t>
            </w:r>
            <w:r>
              <w:rPr>
                <w:rFonts w:hint="eastAsia" w:ascii="宋体" w:hAnsi="宋体" w:cs="Calibri"/>
                <w:kern w:val="0"/>
                <w:sz w:val="18"/>
                <w:szCs w:val="18"/>
              </w:rPr>
              <w:t>月</w:t>
            </w:r>
            <w:r>
              <w:rPr>
                <w:rFonts w:ascii="宋体" w:hAnsi="宋体" w:cs="Calibri"/>
                <w:kern w:val="0"/>
                <w:sz w:val="18"/>
                <w:szCs w:val="18"/>
              </w:rPr>
              <w:t xml:space="preserve">, </w:t>
            </w:r>
            <w:r>
              <w:rPr>
                <w:rFonts w:hint="eastAsia" w:ascii="宋体" w:hAnsi="宋体" w:cs="Calibri"/>
                <w:kern w:val="0"/>
                <w:sz w:val="18"/>
                <w:szCs w:val="18"/>
              </w:rPr>
              <w:t>下一个工作日提供备机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line="240" w:lineRule="atLeast"/>
              <w:rPr>
                <w:rFonts w:ascii="宋体" w:hAnsi="宋体"/>
                <w:sz w:val="18"/>
                <w:szCs w:val="18"/>
              </w:rPr>
            </w:pPr>
            <w:r>
              <w:rPr>
                <w:rFonts w:hint="eastAsia" w:ascii="宋体" w:hAnsi="宋体"/>
                <w:sz w:val="18"/>
                <w:szCs w:val="18"/>
              </w:rPr>
              <w:t>提供Fail Open功能，在停电与系统出现问题时自动实现直通功能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line="240" w:lineRule="atLeast"/>
              <w:rPr>
                <w:rFonts w:ascii="宋体" w:hAnsi="宋体" w:cs="Arial"/>
                <w:sz w:val="18"/>
                <w:szCs w:val="18"/>
              </w:rPr>
            </w:pPr>
            <w:r>
              <w:rPr>
                <w:rFonts w:hint="eastAsia" w:ascii="宋体" w:hAnsi="宋体" w:cs="Arial"/>
                <w:sz w:val="18"/>
                <w:szCs w:val="18"/>
              </w:rPr>
              <w:t>提供流量过载保护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line="240" w:lineRule="atLeast"/>
              <w:rPr>
                <w:rFonts w:ascii="宋体" w:hAnsi="宋体" w:cs="Arial"/>
                <w:sz w:val="18"/>
                <w:szCs w:val="18"/>
              </w:rPr>
            </w:pPr>
            <w:r>
              <w:rPr>
                <w:rFonts w:hint="eastAsia" w:ascii="宋体" w:hAnsi="宋体" w:cs="Calibri"/>
                <w:kern w:val="0"/>
                <w:sz w:val="18"/>
                <w:szCs w:val="18"/>
              </w:rPr>
              <w:t>设备硬件</w:t>
            </w:r>
            <w:r>
              <w:rPr>
                <w:rFonts w:hint="eastAsia" w:ascii="宋体" w:hAnsi="宋体" w:cs="Arial"/>
                <w:color w:val="000000"/>
                <w:sz w:val="18"/>
                <w:szCs w:val="18"/>
              </w:rPr>
              <w:t>监测</w:t>
            </w:r>
          </w:p>
        </w:tc>
      </w:tr>
    </w:tbl>
    <w:p>
      <w:pPr>
        <w:spacing w:line="360" w:lineRule="auto"/>
        <w:rPr>
          <w:rFonts w:hint="eastAsia"/>
          <w:b/>
          <w:sz w:val="24"/>
        </w:rPr>
      </w:pPr>
    </w:p>
    <w:p>
      <w:pPr>
        <w:numPr>
          <w:ilvl w:val="0"/>
          <w:numId w:val="3"/>
        </w:numPr>
        <w:spacing w:line="360" w:lineRule="auto"/>
        <w:rPr>
          <w:rFonts w:hint="eastAsia"/>
          <w:b/>
          <w:sz w:val="24"/>
        </w:rPr>
      </w:pPr>
      <w:r>
        <w:rPr>
          <w:rFonts w:hint="eastAsia" w:ascii="宋体" w:hAnsi="宋体"/>
          <w:b/>
          <w:bCs/>
          <w:sz w:val="24"/>
        </w:rPr>
        <w:t>商务要求</w:t>
      </w:r>
    </w:p>
    <w:p>
      <w:pPr>
        <w:numPr>
          <w:ilvl w:val="0"/>
          <w:numId w:val="4"/>
        </w:numPr>
        <w:spacing w:line="360" w:lineRule="auto"/>
        <w:rPr>
          <w:rFonts w:hint="eastAsia"/>
          <w:kern w:val="0"/>
          <w:sz w:val="24"/>
        </w:rPr>
      </w:pPr>
      <w:r>
        <w:rPr>
          <w:rFonts w:hAnsi="宋体"/>
          <w:kern w:val="0"/>
          <w:sz w:val="24"/>
        </w:rPr>
        <w:t>提供针对该的项目授权许可函</w:t>
      </w:r>
    </w:p>
    <w:p>
      <w:pPr>
        <w:numPr>
          <w:ilvl w:val="0"/>
          <w:numId w:val="4"/>
        </w:numPr>
        <w:spacing w:line="360" w:lineRule="auto"/>
        <w:rPr>
          <w:rFonts w:hint="eastAsia"/>
          <w:kern w:val="0"/>
          <w:sz w:val="24"/>
        </w:rPr>
      </w:pPr>
      <w:r>
        <w:rPr>
          <w:rFonts w:hAnsi="宋体"/>
          <w:kern w:val="0"/>
          <w:sz w:val="24"/>
        </w:rPr>
        <w:t>三年原厂质保函</w:t>
      </w:r>
    </w:p>
    <w:p>
      <w:pPr>
        <w:numPr>
          <w:ilvl w:val="0"/>
          <w:numId w:val="4"/>
        </w:numPr>
        <w:spacing w:line="360" w:lineRule="auto"/>
        <w:rPr>
          <w:rFonts w:hint="eastAsia"/>
          <w:kern w:val="0"/>
          <w:sz w:val="24"/>
        </w:rPr>
      </w:pPr>
      <w:r>
        <w:rPr>
          <w:kern w:val="0"/>
          <w:sz w:val="24"/>
        </w:rPr>
        <w:t>上门安装服务</w:t>
      </w:r>
    </w:p>
    <w:p>
      <w:pPr>
        <w:numPr>
          <w:ilvl w:val="0"/>
          <w:numId w:val="4"/>
        </w:numPr>
        <w:spacing w:line="360" w:lineRule="auto"/>
        <w:rPr>
          <w:rFonts w:hint="eastAsia"/>
          <w:kern w:val="0"/>
          <w:sz w:val="24"/>
        </w:rPr>
      </w:pPr>
      <w:r>
        <w:rPr>
          <w:rFonts w:hint="eastAsia"/>
          <w:kern w:val="0"/>
          <w:sz w:val="24"/>
        </w:rPr>
        <w:t>提供</w:t>
      </w:r>
      <w:r>
        <w:rPr>
          <w:rFonts w:hint="eastAsia" w:ascii="宋体" w:hAnsi="宋体"/>
          <w:kern w:val="0"/>
          <w:sz w:val="24"/>
        </w:rPr>
        <w:t>现场产品使用培训</w:t>
      </w:r>
    </w:p>
    <w:p>
      <w:pPr>
        <w:numPr>
          <w:ilvl w:val="0"/>
          <w:numId w:val="4"/>
        </w:numPr>
        <w:spacing w:line="360" w:lineRule="auto"/>
        <w:rPr>
          <w:rFonts w:hint="eastAsia"/>
          <w:kern w:val="0"/>
          <w:sz w:val="24"/>
        </w:rPr>
      </w:pPr>
      <w:r>
        <w:rPr>
          <w:kern w:val="0"/>
          <w:sz w:val="24"/>
        </w:rPr>
        <w:t>可提供至少5×8的专业防毒服务。</w:t>
      </w:r>
    </w:p>
    <w:p>
      <w:pPr>
        <w:numPr>
          <w:ilvl w:val="0"/>
          <w:numId w:val="3"/>
        </w:numPr>
        <w:spacing w:line="360" w:lineRule="auto"/>
        <w:rPr>
          <w:rFonts w:hint="eastAsia"/>
          <w:b/>
          <w:sz w:val="24"/>
        </w:rPr>
      </w:pPr>
      <w:r>
        <w:rPr>
          <w:rFonts w:hint="eastAsia"/>
          <w:b/>
          <w:sz w:val="24"/>
        </w:rPr>
        <w:t>项目清单</w:t>
      </w:r>
    </w:p>
    <w:tbl>
      <w:tblPr>
        <w:tblStyle w:val="11"/>
        <w:tblW w:w="0" w:type="auto"/>
        <w:jc w:val="center"/>
        <w:tblLayout w:type="fixed"/>
        <w:tblCellMar>
          <w:top w:w="0" w:type="dxa"/>
          <w:left w:w="30" w:type="dxa"/>
          <w:bottom w:w="0" w:type="dxa"/>
          <w:right w:w="30" w:type="dxa"/>
        </w:tblCellMar>
      </w:tblPr>
      <w:tblGrid>
        <w:gridCol w:w="804"/>
        <w:gridCol w:w="1877"/>
        <w:gridCol w:w="3106"/>
        <w:gridCol w:w="1017"/>
        <w:gridCol w:w="1168"/>
      </w:tblGrid>
      <w:tr>
        <w:tblPrEx>
          <w:tblCellMar>
            <w:top w:w="0" w:type="dxa"/>
            <w:left w:w="30" w:type="dxa"/>
            <w:bottom w:w="0" w:type="dxa"/>
            <w:right w:w="30" w:type="dxa"/>
          </w:tblCellMar>
        </w:tblPrEx>
        <w:trPr>
          <w:trHeight w:val="308" w:hRule="atLeast"/>
          <w:jc w:val="center"/>
        </w:trPr>
        <w:tc>
          <w:tcPr>
            <w:tcW w:w="8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4"/>
              </w:rPr>
            </w:pPr>
            <w:r>
              <w:rPr>
                <w:rFonts w:hint="eastAsia" w:ascii="宋体" w:hAnsi="Arial" w:cs="宋体"/>
                <w:b/>
                <w:color w:val="000000"/>
                <w:kern w:val="0"/>
                <w:sz w:val="24"/>
              </w:rPr>
              <w:t>序号</w:t>
            </w:r>
          </w:p>
        </w:tc>
        <w:tc>
          <w:tcPr>
            <w:tcW w:w="18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4"/>
              </w:rPr>
            </w:pPr>
            <w:r>
              <w:rPr>
                <w:rFonts w:hint="eastAsia" w:ascii="宋体" w:hAnsi="Arial" w:cs="宋体"/>
                <w:b/>
                <w:color w:val="000000"/>
                <w:kern w:val="0"/>
                <w:sz w:val="24"/>
              </w:rPr>
              <w:t>名称</w:t>
            </w:r>
          </w:p>
        </w:tc>
        <w:tc>
          <w:tcPr>
            <w:tcW w:w="3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4"/>
              </w:rPr>
            </w:pPr>
            <w:r>
              <w:rPr>
                <w:rFonts w:hint="eastAsia" w:ascii="宋体" w:hAnsi="Arial" w:cs="宋体"/>
                <w:b/>
                <w:color w:val="000000"/>
                <w:kern w:val="0"/>
                <w:sz w:val="24"/>
              </w:rPr>
              <w:t>技术要求</w:t>
            </w:r>
          </w:p>
        </w:tc>
        <w:tc>
          <w:tcPr>
            <w:tcW w:w="10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4"/>
              </w:rPr>
            </w:pPr>
            <w:r>
              <w:rPr>
                <w:rFonts w:hint="eastAsia" w:ascii="宋体" w:hAnsi="Arial" w:cs="宋体"/>
                <w:b/>
                <w:color w:val="000000"/>
                <w:kern w:val="0"/>
                <w:sz w:val="24"/>
              </w:rPr>
              <w:t>数量</w:t>
            </w:r>
          </w:p>
        </w:tc>
        <w:tc>
          <w:tcPr>
            <w:tcW w:w="11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4"/>
              </w:rPr>
            </w:pPr>
            <w:r>
              <w:rPr>
                <w:rFonts w:hint="eastAsia" w:ascii="宋体" w:hAnsi="Arial" w:cs="宋体"/>
                <w:b/>
                <w:color w:val="000000"/>
                <w:kern w:val="0"/>
                <w:sz w:val="24"/>
              </w:rPr>
              <w:t>备注</w:t>
            </w:r>
          </w:p>
        </w:tc>
      </w:tr>
      <w:tr>
        <w:tblPrEx>
          <w:tblCellMar>
            <w:top w:w="0" w:type="dxa"/>
            <w:left w:w="30" w:type="dxa"/>
            <w:bottom w:w="0" w:type="dxa"/>
            <w:right w:w="30" w:type="dxa"/>
          </w:tblCellMar>
        </w:tblPrEx>
        <w:trPr>
          <w:trHeight w:val="214" w:hRule="atLeast"/>
          <w:jc w:val="center"/>
        </w:trPr>
        <w:tc>
          <w:tcPr>
            <w:tcW w:w="8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24"/>
              </w:rPr>
            </w:pPr>
            <w:r>
              <w:rPr>
                <w:rFonts w:ascii="宋体" w:hAnsi="Arial" w:cs="宋体"/>
                <w:color w:val="000000"/>
                <w:kern w:val="0"/>
                <w:sz w:val="24"/>
              </w:rPr>
              <w:t>1</w:t>
            </w:r>
          </w:p>
        </w:tc>
        <w:tc>
          <w:tcPr>
            <w:tcW w:w="18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ascii="宋体" w:hAnsi="宋体" w:cs="宋体"/>
                <w:color w:val="000000"/>
                <w:kern w:val="0"/>
                <w:sz w:val="24"/>
              </w:rPr>
            </w:pPr>
            <w:r>
              <w:rPr>
                <w:rFonts w:hint="eastAsia" w:ascii="宋体" w:hAnsi="宋体"/>
                <w:color w:val="000000"/>
                <w:sz w:val="24"/>
              </w:rPr>
              <w:t>防毒墙</w:t>
            </w:r>
            <w:r>
              <w:rPr>
                <w:rFonts w:hint="eastAsia" w:ascii="宋体" w:hAnsi="宋体" w:cs="宋体"/>
                <w:color w:val="000000"/>
                <w:sz w:val="24"/>
              </w:rPr>
              <w:t>系统</w:t>
            </w:r>
          </w:p>
        </w:tc>
        <w:tc>
          <w:tcPr>
            <w:tcW w:w="3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Arial" w:cs="宋体"/>
                <w:color w:val="000000"/>
                <w:kern w:val="0"/>
                <w:sz w:val="24"/>
              </w:rPr>
            </w:pPr>
            <w:r>
              <w:rPr>
                <w:rFonts w:hint="eastAsia" w:ascii="宋体" w:hAnsi="宋体"/>
                <w:sz w:val="24"/>
              </w:rPr>
              <w:t>见本要求“二、技术要求”</w:t>
            </w:r>
          </w:p>
        </w:tc>
        <w:tc>
          <w:tcPr>
            <w:tcW w:w="10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kern w:val="0"/>
                <w:sz w:val="24"/>
              </w:rPr>
            </w:pPr>
            <w:r>
              <w:rPr>
                <w:rFonts w:hint="eastAsia" w:ascii="宋体" w:hAnsi="Arial" w:cs="宋体"/>
                <w:kern w:val="0"/>
                <w:sz w:val="24"/>
              </w:rPr>
              <w:t>1</w:t>
            </w:r>
          </w:p>
        </w:tc>
        <w:tc>
          <w:tcPr>
            <w:tcW w:w="11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24"/>
              </w:rPr>
            </w:pPr>
          </w:p>
        </w:tc>
      </w:tr>
    </w:tbl>
    <w:p>
      <w:pPr>
        <w:pStyle w:val="16"/>
        <w:adjustRightInd w:val="0"/>
        <w:snapToGrid w:val="0"/>
        <w:spacing w:before="0" w:after="0" w:line="360" w:lineRule="exact"/>
        <w:rPr>
          <w:rFonts w:hint="eastAsia"/>
          <w:b/>
        </w:rPr>
      </w:pPr>
    </w:p>
    <w:p>
      <w:pPr>
        <w:pStyle w:val="16"/>
        <w:adjustRightInd w:val="0"/>
        <w:snapToGrid w:val="0"/>
        <w:spacing w:before="0" w:after="0" w:line="360" w:lineRule="exact"/>
        <w:rPr>
          <w:rFonts w:hint="eastAsia"/>
          <w:b/>
        </w:rPr>
      </w:pPr>
      <w:r>
        <w:rPr>
          <w:rFonts w:hint="eastAsia"/>
          <w:b/>
          <w:lang w:eastAsia="zh-CN"/>
        </w:rPr>
        <w:t>五</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2"/>
        <w:rPr>
          <w:rFonts w:hint="eastAsia" w:ascii="宋体" w:hAnsi="宋体" w:cs="宋体"/>
          <w:sz w:val="24"/>
        </w:rPr>
      </w:pPr>
    </w:p>
    <w:p>
      <w:pPr>
        <w:pStyle w:val="7"/>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3" w:name="_Toc49090575"/>
      <w:bookmarkStart w:id="34" w:name="_Toc26554093"/>
      <w:bookmarkStart w:id="35" w:name="_Toc120614281"/>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6"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6"/>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24</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eastAsia="zh-CN"/>
        </w:rPr>
        <w:t>，</w:t>
      </w:r>
      <w:r>
        <w:rPr>
          <w:rFonts w:hint="eastAsia" w:ascii="宋体" w:hAnsi="宋体"/>
          <w:color w:val="000000"/>
          <w:sz w:val="24"/>
          <w:lang w:val="en-US" w:eastAsia="zh-CN"/>
        </w:rPr>
        <w:t>按项目需求7项参数，每项参数得3分，</w:t>
      </w:r>
      <w:r>
        <w:rPr>
          <w:rFonts w:hint="eastAsia" w:ascii="宋体" w:hAnsi="宋体"/>
          <w:sz w:val="24"/>
        </w:rPr>
        <w:t>正偏离一项加</w:t>
      </w:r>
      <w:r>
        <w:rPr>
          <w:rFonts w:hint="eastAsia" w:ascii="宋体" w:hAnsi="宋体"/>
          <w:sz w:val="24"/>
          <w:lang w:val="en-US" w:eastAsia="zh-CN"/>
        </w:rPr>
        <w:t>1</w:t>
      </w:r>
      <w:r>
        <w:rPr>
          <w:rFonts w:hint="eastAsia" w:ascii="宋体" w:hAnsi="宋体"/>
          <w:sz w:val="24"/>
        </w:rPr>
        <w:t>分（评标工作组认为超出指标有意义），最高得分为</w:t>
      </w:r>
      <w:r>
        <w:rPr>
          <w:rFonts w:hint="eastAsia" w:ascii="宋体" w:hAnsi="宋体"/>
          <w:sz w:val="24"/>
          <w:lang w:val="en-US" w:eastAsia="zh-CN"/>
        </w:rPr>
        <w:t>3</w:t>
      </w:r>
      <w:r>
        <w:rPr>
          <w:rFonts w:hint="eastAsia" w:ascii="宋体" w:hAnsi="宋体"/>
          <w:sz w:val="24"/>
        </w:rPr>
        <w:t>分</w:t>
      </w:r>
      <w:r>
        <w:rPr>
          <w:rFonts w:hint="eastAsia" w:ascii="宋体" w:hAnsi="宋体"/>
          <w:sz w:val="24"/>
          <w:lang w:eastAsia="zh-CN"/>
        </w:rPr>
        <w:t>；</w:t>
      </w:r>
      <w:r>
        <w:rPr>
          <w:rFonts w:hint="eastAsia" w:ascii="宋体" w:hAnsi="宋体"/>
          <w:color w:val="000000"/>
          <w:sz w:val="24"/>
        </w:rPr>
        <w:t>有</w:t>
      </w:r>
      <w:r>
        <w:rPr>
          <w:rFonts w:hint="eastAsia" w:ascii="宋体" w:hAnsi="宋体"/>
          <w:color w:val="000000"/>
          <w:sz w:val="24"/>
          <w:lang w:val="en-US" w:eastAsia="zh-CN"/>
        </w:rPr>
        <w:t>3</w:t>
      </w:r>
      <w:r>
        <w:rPr>
          <w:rFonts w:hint="eastAsia" w:ascii="宋体" w:hAnsi="宋体"/>
          <w:color w:val="000000"/>
          <w:sz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3</w:t>
      </w:r>
      <w:r>
        <w:rPr>
          <w:rFonts w:hint="eastAsia" w:ascii="宋体" w:hAnsi="宋体"/>
          <w:color w:val="000000"/>
          <w:sz w:val="24"/>
        </w:rPr>
        <w:t>分，服务方案一般得</w:t>
      </w:r>
      <w:r>
        <w:rPr>
          <w:rFonts w:hint="eastAsia" w:ascii="宋体" w:hAnsi="宋体"/>
          <w:color w:val="000000"/>
          <w:sz w:val="24"/>
          <w:lang w:val="en-US" w:eastAsia="zh-CN"/>
        </w:rPr>
        <w:t>2</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2</w:t>
      </w:r>
      <w:r>
        <w:rPr>
          <w:rFonts w:hint="eastAsia" w:ascii="宋体" w:hAnsi="宋体"/>
          <w:color w:val="000000"/>
          <w:sz w:val="24"/>
        </w:rPr>
        <w:t>分；免费维保期每延长1年，加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2</w:t>
      </w:r>
      <w:r>
        <w:rPr>
          <w:rFonts w:hint="eastAsia" w:ascii="宋体" w:hAnsi="宋体"/>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kern w:val="0"/>
          <w:sz w:val="24"/>
        </w:rPr>
        <w:t>可提供至少5×</w:t>
      </w:r>
      <w:r>
        <w:rPr>
          <w:rFonts w:hint="eastAsia"/>
          <w:kern w:val="0"/>
          <w:sz w:val="24"/>
          <w:lang w:val="en-US" w:eastAsia="zh-CN"/>
        </w:rPr>
        <w:t>8</w:t>
      </w:r>
      <w:r>
        <w:rPr>
          <w:kern w:val="0"/>
          <w:sz w:val="24"/>
        </w:rPr>
        <w:t>的专业防毒服务</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3</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4</w:t>
      </w:r>
      <w:r>
        <w:rPr>
          <w:rFonts w:hint="eastAsia" w:ascii="宋体" w:hAnsi="宋体"/>
          <w:b/>
          <w:sz w:val="24"/>
        </w:rPr>
        <w:t>.投标人履行合同的能力（</w:t>
      </w:r>
      <w:r>
        <w:rPr>
          <w:rFonts w:hint="eastAsia" w:ascii="宋体" w:hAnsi="宋体"/>
          <w:b/>
          <w:sz w:val="24"/>
          <w:lang w:val="en-US" w:eastAsia="zh-CN"/>
        </w:rPr>
        <w:t>20</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ind w:firstLine="480" w:firstLineChars="200"/>
        <w:jc w:val="left"/>
        <w:rPr>
          <w:rFonts w:hint="default" w:ascii="Times New Roman" w:hAnsi="Times New Roman" w:eastAsia="宋体" w:cs="Times New Roman"/>
          <w:sz w:val="24"/>
          <w:lang w:val="en-US" w:eastAsia="zh-CN"/>
        </w:rPr>
      </w:pPr>
      <w:r>
        <w:rPr>
          <w:rFonts w:hint="default" w:ascii="Times New Roman" w:hAnsi="Times New Roman" w:cs="Times New Roman"/>
          <w:sz w:val="24"/>
        </w:rPr>
        <w:t>（1）</w:t>
      </w:r>
      <w:r>
        <w:rPr>
          <w:rFonts w:hint="default" w:ascii="Times New Roman" w:hAnsi="Times New Roman" w:cs="Times New Roman"/>
          <w:kern w:val="0"/>
          <w:sz w:val="24"/>
        </w:rPr>
        <w:t>产品中所用的防病毒引擎，病毒代码，防病毒扫描原理, APT侦测, 入侵检测, 虚拟补丁,</w:t>
      </w:r>
      <w:r>
        <w:rPr>
          <w:rFonts w:hint="default" w:ascii="Times New Roman" w:hAnsi="Times New Roman" w:cs="Times New Roman"/>
          <w:sz w:val="24"/>
        </w:rPr>
        <w:t>Web信誉, 防垃圾邮件</w:t>
      </w:r>
      <w:r>
        <w:rPr>
          <w:rFonts w:hint="default" w:ascii="Times New Roman" w:hAnsi="Times New Roman" w:cs="Times New Roman"/>
          <w:kern w:val="0"/>
          <w:sz w:val="24"/>
        </w:rPr>
        <w:t>等都必需为厂商自有技术，以保证服务支持的连续性，和技术维护的一贯性</w:t>
      </w:r>
      <w:r>
        <w:rPr>
          <w:rFonts w:hint="default" w:ascii="Times New Roman" w:hAnsi="Times New Roman" w:cs="Times New Roman"/>
          <w:kern w:val="0"/>
          <w:sz w:val="24"/>
          <w:lang w:eastAsia="zh-CN"/>
        </w:rPr>
        <w:t>的</w:t>
      </w:r>
      <w:r>
        <w:rPr>
          <w:rFonts w:hint="default" w:ascii="Times New Roman" w:hAnsi="Times New Roman" w:cs="Times New Roman"/>
          <w:kern w:val="0"/>
          <w:sz w:val="24"/>
        </w:rPr>
        <w:t>（提供证明材料并加盖原厂公章确认)</w:t>
      </w:r>
      <w:r>
        <w:rPr>
          <w:rFonts w:hint="default" w:ascii="Times New Roman" w:hAnsi="Times New Roman" w:cs="Times New Roman"/>
          <w:kern w:val="0"/>
          <w:sz w:val="24"/>
          <w:lang w:eastAsia="zh-CN"/>
        </w:rPr>
        <w:t>，得</w:t>
      </w:r>
      <w:r>
        <w:rPr>
          <w:rFonts w:hint="default" w:ascii="Times New Roman" w:hAnsi="Times New Roman" w:cs="Times New Roman"/>
          <w:kern w:val="0"/>
          <w:sz w:val="24"/>
          <w:lang w:val="en-US" w:eastAsia="zh-CN"/>
        </w:rPr>
        <w:t>3分；</w:t>
      </w:r>
    </w:p>
    <w:p>
      <w:pPr>
        <w:widowControl/>
        <w:spacing w:line="360" w:lineRule="auto"/>
        <w:ind w:firstLine="480" w:firstLineChars="200"/>
        <w:rPr>
          <w:rFonts w:hint="default" w:ascii="Times New Roman" w:hAnsi="Times New Roman" w:eastAsia="宋体" w:cs="Times New Roman"/>
          <w:kern w:val="0"/>
          <w:sz w:val="24"/>
          <w:lang w:val="en-US" w:eastAsia="zh-CN"/>
        </w:rPr>
      </w:pPr>
      <w:r>
        <w:rPr>
          <w:rFonts w:hint="default" w:ascii="Times New Roman" w:hAnsi="Times New Roman" w:cs="Times New Roman"/>
          <w:sz w:val="24"/>
        </w:rPr>
        <w:t>（2）</w:t>
      </w:r>
      <w:r>
        <w:rPr>
          <w:rFonts w:hint="default" w:ascii="Times New Roman" w:hAnsi="Times New Roman" w:cs="Times New Roman"/>
          <w:kern w:val="0"/>
          <w:sz w:val="24"/>
        </w:rPr>
        <w:t xml:space="preserve">具有国家相关单位和部门的技术支持单位或战略合作伙伴资质（提供证明材料并加盖原厂公章确认) </w:t>
      </w:r>
      <w:r>
        <w:rPr>
          <w:rFonts w:hint="default" w:ascii="Times New Roman" w:hAnsi="Times New Roman" w:cs="Times New Roman"/>
          <w:kern w:val="0"/>
          <w:sz w:val="24"/>
          <w:lang w:eastAsia="zh-CN"/>
        </w:rPr>
        <w:t>，得</w:t>
      </w:r>
      <w:r>
        <w:rPr>
          <w:rFonts w:hint="default" w:ascii="Times New Roman" w:hAnsi="Times New Roman" w:cs="Times New Roman"/>
          <w:kern w:val="0"/>
          <w:sz w:val="24"/>
          <w:lang w:val="en-US" w:eastAsia="zh-CN"/>
        </w:rPr>
        <w:t>3分；</w:t>
      </w:r>
    </w:p>
    <w:p>
      <w:pPr>
        <w:widowControl/>
        <w:spacing w:line="360" w:lineRule="auto"/>
        <w:ind w:firstLine="480" w:firstLineChars="200"/>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3</w:t>
      </w:r>
      <w:r>
        <w:rPr>
          <w:rFonts w:hint="default" w:ascii="Times New Roman" w:hAnsi="Times New Roman" w:cs="Times New Roman"/>
          <w:kern w:val="0"/>
          <w:sz w:val="24"/>
          <w:lang w:eastAsia="zh-CN"/>
        </w:rPr>
        <w:t>）</w:t>
      </w:r>
      <w:r>
        <w:rPr>
          <w:rFonts w:hint="default" w:ascii="Times New Roman" w:hAnsi="Times New Roman" w:cs="Times New Roman"/>
          <w:kern w:val="0"/>
          <w:sz w:val="24"/>
        </w:rPr>
        <w:t xml:space="preserve">通过CMMI L5认证（提供证明材料并加盖原厂公章确认) </w:t>
      </w:r>
      <w:r>
        <w:rPr>
          <w:rFonts w:hint="default" w:ascii="Times New Roman" w:hAnsi="Times New Roman" w:cs="Times New Roman"/>
          <w:kern w:val="0"/>
          <w:sz w:val="24"/>
          <w:lang w:eastAsia="zh-CN"/>
        </w:rPr>
        <w:t>，得</w:t>
      </w:r>
      <w:r>
        <w:rPr>
          <w:rFonts w:hint="default" w:ascii="Times New Roman" w:hAnsi="Times New Roman" w:cs="Times New Roman"/>
          <w:kern w:val="0"/>
          <w:sz w:val="24"/>
          <w:lang w:val="en-US" w:eastAsia="zh-CN"/>
        </w:rPr>
        <w:t>3分；</w:t>
      </w:r>
    </w:p>
    <w:p>
      <w:pPr>
        <w:widowControl/>
        <w:spacing w:line="360" w:lineRule="auto"/>
        <w:ind w:firstLine="480" w:firstLineChars="200"/>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4</w:t>
      </w:r>
      <w:r>
        <w:rPr>
          <w:rFonts w:hint="default" w:ascii="Times New Roman" w:hAnsi="Times New Roman" w:cs="Times New Roman"/>
          <w:kern w:val="0"/>
          <w:sz w:val="24"/>
          <w:lang w:eastAsia="zh-CN"/>
        </w:rPr>
        <w:t>）</w:t>
      </w:r>
      <w:r>
        <w:rPr>
          <w:rFonts w:hint="default" w:ascii="Times New Roman" w:hAnsi="Times New Roman" w:cs="Times New Roman"/>
          <w:kern w:val="0"/>
          <w:sz w:val="24"/>
        </w:rPr>
        <w:t>通过ISO 27001的质量体系认证（提供证明材料并加盖原厂公章确认)</w:t>
      </w:r>
      <w:r>
        <w:rPr>
          <w:rFonts w:hint="default" w:ascii="Times New Roman" w:hAnsi="Times New Roman" w:cs="Times New Roman"/>
          <w:kern w:val="0"/>
          <w:sz w:val="24"/>
          <w:lang w:eastAsia="zh-CN"/>
        </w:rPr>
        <w:t>，得</w:t>
      </w:r>
      <w:r>
        <w:rPr>
          <w:rFonts w:hint="default" w:ascii="Times New Roman" w:hAnsi="Times New Roman" w:cs="Times New Roman"/>
          <w:kern w:val="0"/>
          <w:sz w:val="24"/>
          <w:lang w:val="en-US" w:eastAsia="zh-CN"/>
        </w:rPr>
        <w:t>3分；</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5</w:t>
      </w:r>
      <w:r>
        <w:rPr>
          <w:rFonts w:hint="default" w:ascii="Times New Roman" w:hAnsi="Times New Roman" w:cs="Times New Roman"/>
          <w:kern w:val="0"/>
          <w:sz w:val="24"/>
          <w:lang w:eastAsia="zh-CN"/>
        </w:rPr>
        <w:t>）</w:t>
      </w:r>
      <w:r>
        <w:rPr>
          <w:rFonts w:hint="default" w:ascii="Times New Roman" w:hAnsi="Times New Roman" w:cs="Times New Roman"/>
          <w:kern w:val="0"/>
          <w:sz w:val="24"/>
        </w:rPr>
        <w:t>可提供主动式服务、快速响应服务(SLO/SLA)、在线技术支持服务</w:t>
      </w:r>
      <w:r>
        <w:rPr>
          <w:rFonts w:hint="default" w:ascii="Times New Roman" w:hAnsi="Times New Roman" w:cs="Times New Roman"/>
          <w:kern w:val="0"/>
          <w:sz w:val="24"/>
          <w:lang w:eastAsia="zh-CN"/>
        </w:rPr>
        <w:t>，得</w:t>
      </w:r>
      <w:r>
        <w:rPr>
          <w:rFonts w:hint="default" w:ascii="Times New Roman" w:hAnsi="Times New Roman" w:cs="Times New Roman"/>
          <w:kern w:val="0"/>
          <w:sz w:val="24"/>
          <w:lang w:val="en-US" w:eastAsia="zh-CN"/>
        </w:rPr>
        <w:t>3分；</w:t>
      </w:r>
    </w:p>
    <w:p>
      <w:pPr>
        <w:spacing w:line="360" w:lineRule="auto"/>
        <w:ind w:firstLine="480" w:firstLineChars="200"/>
        <w:rPr>
          <w:rFonts w:hint="eastAsia" w:eastAsia="宋体"/>
          <w:color w:val="auto"/>
          <w:kern w:val="0"/>
          <w:sz w:val="24"/>
          <w:lang w:eastAsia="zh-CN"/>
        </w:rPr>
      </w:pP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lang w:val="en-US" w:eastAsia="zh-CN"/>
        </w:rPr>
        <w:t>6</w:t>
      </w:r>
      <w:r>
        <w:rPr>
          <w:rFonts w:hint="default" w:ascii="Times New Roman" w:hAnsi="Times New Roman" w:cs="Times New Roman"/>
          <w:color w:val="auto"/>
          <w:kern w:val="0"/>
          <w:sz w:val="24"/>
          <w:lang w:eastAsia="zh-CN"/>
        </w:rPr>
        <w:t>）产品满足</w:t>
      </w:r>
      <w:r>
        <w:rPr>
          <w:rFonts w:hint="default" w:ascii="Times New Roman" w:hAnsi="Times New Roman" w:cs="Times New Roman"/>
          <w:color w:val="auto"/>
          <w:kern w:val="0"/>
          <w:sz w:val="24"/>
        </w:rPr>
        <w:t>江苏省信息安全等级保护领导小组办</w:t>
      </w:r>
      <w:bookmarkStart w:id="57" w:name="_GoBack"/>
      <w:bookmarkEnd w:id="57"/>
      <w:r>
        <w:rPr>
          <w:rFonts w:hint="default" w:ascii="Times New Roman" w:hAnsi="Times New Roman" w:cs="Times New Roman"/>
          <w:color w:val="auto"/>
          <w:kern w:val="0"/>
          <w:sz w:val="24"/>
        </w:rPr>
        <w:t>公室颁布的《江苏省符合网络安全等级保护二级以上标准（非涉密重要信息系统）网络</w:t>
      </w:r>
      <w:r>
        <w:rPr>
          <w:rFonts w:hAnsi="宋体"/>
          <w:color w:val="auto"/>
          <w:kern w:val="0"/>
          <w:sz w:val="24"/>
        </w:rPr>
        <w:t>安全产品与服务推荐目录（</w:t>
      </w:r>
      <w:r>
        <w:rPr>
          <w:color w:val="auto"/>
          <w:kern w:val="0"/>
          <w:sz w:val="24"/>
        </w:rPr>
        <w:t>2017</w:t>
      </w:r>
      <w:r>
        <w:rPr>
          <w:rFonts w:hAnsi="宋体"/>
          <w:color w:val="auto"/>
          <w:kern w:val="0"/>
          <w:sz w:val="24"/>
        </w:rPr>
        <w:t>版）》（提供证明材料并加盖原厂公章确认</w:t>
      </w:r>
      <w:r>
        <w:rPr>
          <w:color w:val="auto"/>
          <w:kern w:val="0"/>
          <w:sz w:val="24"/>
        </w:rPr>
        <w:t xml:space="preserve">) </w:t>
      </w:r>
      <w:r>
        <w:rPr>
          <w:rFonts w:hint="eastAsia"/>
          <w:color w:val="auto"/>
          <w:kern w:val="0"/>
          <w:sz w:val="24"/>
          <w:lang w:eastAsia="zh-CN"/>
        </w:rPr>
        <w:t>，得</w:t>
      </w:r>
      <w:r>
        <w:rPr>
          <w:rFonts w:hint="eastAsia"/>
          <w:color w:val="auto"/>
          <w:kern w:val="0"/>
          <w:sz w:val="24"/>
          <w:lang w:val="en-US" w:eastAsia="zh-CN"/>
        </w:rPr>
        <w:t>5分。</w:t>
      </w:r>
    </w:p>
    <w:p>
      <w:pPr>
        <w:tabs>
          <w:tab w:val="left" w:pos="0"/>
          <w:tab w:val="left" w:pos="600"/>
          <w:tab w:val="left" w:pos="993"/>
          <w:tab w:val="left" w:pos="1134"/>
        </w:tabs>
        <w:adjustRightInd w:val="0"/>
        <w:snapToGrid w:val="0"/>
        <w:spacing w:line="380" w:lineRule="exact"/>
        <w:ind w:firstLine="482" w:firstLineChars="200"/>
        <w:jc w:val="left"/>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6</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p>
    <w:p>
      <w:pPr>
        <w:spacing w:line="400" w:lineRule="exact"/>
        <w:ind w:firstLine="600" w:firstLineChars="250"/>
        <w:rPr>
          <w:rFonts w:ascii="宋体" w:hAnsi="宋体" w:cs="Arial"/>
          <w:color w:val="000000"/>
          <w:sz w:val="24"/>
        </w:rPr>
      </w:pPr>
    </w:p>
    <w:bookmarkEnd w:id="29"/>
    <w:bookmarkEnd w:id="30"/>
    <w:bookmarkEnd w:id="33"/>
    <w:bookmarkEnd w:id="34"/>
    <w:bookmarkEnd w:id="35"/>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7" w:name="_Hlt26955039"/>
      <w:bookmarkEnd w:id="37"/>
      <w:bookmarkStart w:id="38" w:name="_Hlt26671244"/>
      <w:bookmarkEnd w:id="38"/>
      <w:bookmarkStart w:id="39" w:name="_Toc49090576"/>
      <w:bookmarkStart w:id="40" w:name="_Toc120614282"/>
      <w:bookmarkStart w:id="41" w:name="_Toc26554094"/>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bookmarkEnd w:id="39"/>
    <w:bookmarkEnd w:id="40"/>
    <w:bookmarkEnd w:id="41"/>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4"/>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4"/>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4"/>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4"/>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4"/>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4"/>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2" w:name="_Toc462564147"/>
      <w:bookmarkStart w:id="43"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7"/>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7"/>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7"/>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42"/>
      <w:bookmarkStart w:id="44" w:name="_Hlt26955070"/>
      <w:bookmarkEnd w:id="44"/>
      <w:bookmarkStart w:id="45" w:name="_格式3__银行出具的资信证明"/>
      <w:bookmarkEnd w:id="45"/>
      <w:bookmarkStart w:id="46" w:name="_Hlt26671380"/>
      <w:bookmarkEnd w:id="46"/>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3"/>
      <w:bookmarkStart w:id="47" w:name="_Hlt26955054"/>
      <w:bookmarkEnd w:id="47"/>
      <w:r>
        <w:rPr>
          <w:rFonts w:hint="eastAsia" w:ascii="宋体" w:hAnsi="宋体" w:cs="宋体"/>
          <w:b/>
          <w:sz w:val="32"/>
          <w:szCs w:val="32"/>
        </w:rPr>
        <w:t>六、</w:t>
      </w:r>
      <w:bookmarkStart w:id="48" w:name="_格式2__法定代表人授权书"/>
      <w:bookmarkEnd w:id="48"/>
      <w:bookmarkStart w:id="49" w:name="_Toc26554095"/>
      <w:bookmarkStart w:id="50" w:name="_Toc49090577"/>
      <w:bookmarkStart w:id="51" w:name="_Toc120614283"/>
      <w:bookmarkStart w:id="52" w:name="_Toc460901585"/>
      <w:bookmarkStart w:id="53" w:name="_Toc23828478"/>
      <w:bookmarkStart w:id="54" w:name="_Toc513029276"/>
      <w:bookmarkStart w:id="55" w:name="_Toc22356580"/>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序号</w:t>
            </w:r>
          </w:p>
        </w:tc>
        <w:tc>
          <w:tcPr>
            <w:tcW w:w="2976" w:type="dxa"/>
            <w:noWrap w:val="0"/>
            <w:vAlign w:val="center"/>
          </w:tcPr>
          <w:p>
            <w:pPr>
              <w:pStyle w:val="18"/>
              <w:ind w:left="420"/>
              <w:jc w:val="center"/>
              <w:rPr>
                <w:rFonts w:hint="eastAsia" w:hAnsi="宋体"/>
                <w:color w:val="auto"/>
              </w:rPr>
            </w:pPr>
            <w:r>
              <w:rPr>
                <w:rFonts w:hint="eastAsia" w:hAnsi="宋体"/>
                <w:color w:val="auto"/>
              </w:rPr>
              <w:t>项目</w:t>
            </w:r>
          </w:p>
        </w:tc>
        <w:tc>
          <w:tcPr>
            <w:tcW w:w="1985" w:type="dxa"/>
            <w:noWrap w:val="0"/>
            <w:vAlign w:val="center"/>
          </w:tcPr>
          <w:p>
            <w:pPr>
              <w:pStyle w:val="18"/>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8"/>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8"/>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1</w:t>
            </w:r>
          </w:p>
        </w:tc>
        <w:tc>
          <w:tcPr>
            <w:tcW w:w="2976" w:type="dxa"/>
            <w:noWrap w:val="0"/>
            <w:vAlign w:val="center"/>
          </w:tcPr>
          <w:p>
            <w:pPr>
              <w:pStyle w:val="18"/>
              <w:ind w:left="420"/>
              <w:jc w:val="center"/>
              <w:rPr>
                <w:rFonts w:hint="eastAsia" w:hAnsi="宋体"/>
                <w:color w:val="auto"/>
              </w:rPr>
            </w:pPr>
            <w:r>
              <w:rPr>
                <w:rFonts w:hint="eastAsia" w:hAnsi="宋体"/>
                <w:color w:val="auto"/>
              </w:rPr>
              <w:t>质保期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2</w:t>
            </w:r>
          </w:p>
        </w:tc>
        <w:tc>
          <w:tcPr>
            <w:tcW w:w="2976" w:type="dxa"/>
            <w:noWrap w:val="0"/>
            <w:vAlign w:val="center"/>
          </w:tcPr>
          <w:p>
            <w:pPr>
              <w:pStyle w:val="18"/>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3</w:t>
            </w:r>
          </w:p>
        </w:tc>
        <w:tc>
          <w:tcPr>
            <w:tcW w:w="2976" w:type="dxa"/>
            <w:noWrap w:val="0"/>
            <w:vAlign w:val="center"/>
          </w:tcPr>
          <w:p>
            <w:pPr>
              <w:pStyle w:val="18"/>
              <w:ind w:left="420"/>
              <w:jc w:val="center"/>
              <w:rPr>
                <w:rFonts w:hint="eastAsia" w:hAnsi="宋体"/>
                <w:color w:val="auto"/>
              </w:rPr>
            </w:pPr>
            <w:r>
              <w:rPr>
                <w:rFonts w:hint="eastAsia" w:hAnsi="宋体"/>
                <w:color w:val="auto"/>
              </w:rPr>
              <w:t>供货期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4</w:t>
            </w:r>
          </w:p>
        </w:tc>
        <w:tc>
          <w:tcPr>
            <w:tcW w:w="2976" w:type="dxa"/>
            <w:noWrap w:val="0"/>
            <w:vAlign w:val="center"/>
          </w:tcPr>
          <w:p>
            <w:pPr>
              <w:pStyle w:val="18"/>
              <w:ind w:left="420"/>
              <w:jc w:val="center"/>
              <w:rPr>
                <w:rFonts w:hint="eastAsia" w:hAnsi="宋体"/>
                <w:color w:val="auto"/>
              </w:rPr>
            </w:pPr>
            <w:r>
              <w:rPr>
                <w:rFonts w:hint="eastAsia" w:hAnsi="宋体"/>
                <w:color w:val="auto"/>
              </w:rPr>
              <w:t>交货方式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5</w:t>
            </w:r>
          </w:p>
        </w:tc>
        <w:tc>
          <w:tcPr>
            <w:tcW w:w="2976" w:type="dxa"/>
            <w:noWrap w:val="0"/>
            <w:vAlign w:val="center"/>
          </w:tcPr>
          <w:p>
            <w:pPr>
              <w:pStyle w:val="18"/>
              <w:ind w:left="420"/>
              <w:jc w:val="center"/>
              <w:rPr>
                <w:rFonts w:hint="eastAsia" w:hAnsi="宋体"/>
                <w:color w:val="auto"/>
              </w:rPr>
            </w:pPr>
            <w:r>
              <w:rPr>
                <w:rFonts w:hint="eastAsia" w:hAnsi="宋体"/>
                <w:color w:val="auto"/>
              </w:rPr>
              <w:t>付款方式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6</w:t>
            </w:r>
          </w:p>
        </w:tc>
        <w:tc>
          <w:tcPr>
            <w:tcW w:w="2976" w:type="dxa"/>
            <w:noWrap w:val="0"/>
            <w:vAlign w:val="center"/>
          </w:tcPr>
          <w:p>
            <w:pPr>
              <w:pStyle w:val="18"/>
              <w:ind w:left="420"/>
              <w:jc w:val="center"/>
              <w:rPr>
                <w:rFonts w:hint="eastAsia" w:hAnsi="宋体"/>
                <w:color w:val="auto"/>
              </w:rPr>
            </w:pPr>
            <w:r>
              <w:rPr>
                <w:rFonts w:hint="eastAsia" w:hAnsi="宋体"/>
                <w:color w:val="auto"/>
              </w:rPr>
              <w:t>投标货币</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7</w:t>
            </w:r>
          </w:p>
        </w:tc>
        <w:tc>
          <w:tcPr>
            <w:tcW w:w="2976" w:type="dxa"/>
            <w:noWrap w:val="0"/>
            <w:vAlign w:val="center"/>
          </w:tcPr>
          <w:p>
            <w:pPr>
              <w:pStyle w:val="18"/>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8</w:t>
            </w:r>
          </w:p>
        </w:tc>
        <w:tc>
          <w:tcPr>
            <w:tcW w:w="2976" w:type="dxa"/>
            <w:noWrap w:val="0"/>
            <w:vAlign w:val="center"/>
          </w:tcPr>
          <w:p>
            <w:pPr>
              <w:pStyle w:val="18"/>
              <w:ind w:left="420"/>
              <w:jc w:val="center"/>
              <w:rPr>
                <w:rFonts w:hint="eastAsia" w:hAnsi="宋体"/>
                <w:color w:val="auto"/>
              </w:rPr>
            </w:pPr>
            <w:r>
              <w:rPr>
                <w:rFonts w:hint="eastAsia" w:hAnsi="宋体"/>
                <w:color w:val="auto"/>
              </w:rPr>
              <w:t>培训方式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p>
        </w:tc>
        <w:tc>
          <w:tcPr>
            <w:tcW w:w="2976" w:type="dxa"/>
            <w:noWrap w:val="0"/>
            <w:vAlign w:val="center"/>
          </w:tcPr>
          <w:p>
            <w:pPr>
              <w:pStyle w:val="18"/>
              <w:ind w:left="420"/>
              <w:jc w:val="center"/>
              <w:rPr>
                <w:rFonts w:hint="eastAsia" w:hAnsi="宋体"/>
                <w:color w:val="auto"/>
              </w:rPr>
            </w:pP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bl>
    <w:p>
      <w:pPr>
        <w:pStyle w:val="18"/>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8"/>
        <w:spacing w:line="360" w:lineRule="exact"/>
        <w:ind w:left="420"/>
        <w:rPr>
          <w:rFonts w:hint="eastAsia" w:hAnsi="宋体"/>
          <w:color w:val="auto"/>
        </w:rPr>
      </w:pPr>
      <w:r>
        <w:rPr>
          <w:rFonts w:hint="eastAsia" w:hAnsi="宋体"/>
          <w:color w:val="auto"/>
        </w:rPr>
        <w:t>注：</w:t>
      </w:r>
    </w:p>
    <w:p>
      <w:pPr>
        <w:pStyle w:val="18"/>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8"/>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8"/>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8"/>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49"/>
    <w:bookmarkEnd w:id="50"/>
    <w:bookmarkEnd w:id="51"/>
    <w:bookmarkEnd w:id="52"/>
    <w:bookmarkEnd w:id="53"/>
    <w:bookmarkEnd w:id="54"/>
    <w:bookmarkEnd w:id="55"/>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6" w:name="_Hlt26955041"/>
      <w:bookmarkEnd w:id="56"/>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D71"/>
    <w:multiLevelType w:val="multilevel"/>
    <w:tmpl w:val="16381D71"/>
    <w:lvl w:ilvl="0" w:tentative="0">
      <w:start w:val="1"/>
      <w:numFmt w:val="japaneseCounting"/>
      <w:lvlText w:val="%1、"/>
      <w:lvlJc w:val="left"/>
      <w:pPr>
        <w:tabs>
          <w:tab w:val="left" w:pos="360"/>
        </w:tabs>
        <w:ind w:left="360" w:hanging="360"/>
      </w:pPr>
      <w:rPr>
        <w:rFonts w:hint="default"/>
        <w:b/>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2B5F5C"/>
    <w:multiLevelType w:val="multilevel"/>
    <w:tmpl w:val="232B5F5C"/>
    <w:lvl w:ilvl="0" w:tentative="0">
      <w:start w:val="1"/>
      <w:numFmt w:val="decimal"/>
      <w:lvlText w:val="4.%1"/>
      <w:lvlJc w:val="left"/>
      <w:pPr>
        <w:tabs>
          <w:tab w:val="left" w:pos="425"/>
        </w:tabs>
        <w:ind w:left="0" w:firstLine="0"/>
      </w:pPr>
      <w:rPr>
        <w:rFonts w:hint="eastAsia"/>
      </w:rPr>
    </w:lvl>
    <w:lvl w:ilvl="1" w:tentative="0">
      <w:start w:val="1"/>
      <w:numFmt w:val="decimal"/>
      <w:lvlText w:val="4.%2"/>
      <w:lvlJc w:val="left"/>
      <w:pPr>
        <w:tabs>
          <w:tab w:val="left" w:pos="992"/>
        </w:tabs>
        <w:ind w:left="992" w:hanging="567"/>
      </w:pPr>
      <w:rPr>
        <w:rFonts w:hint="eastAsia" w:ascii="Times New Roman" w:hAnsi="Times New Roman" w:eastAsia="宋体" w:cs="Times New Roman"/>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58DDFE60"/>
    <w:multiLevelType w:val="singleLevel"/>
    <w:tmpl w:val="58DDFE60"/>
    <w:lvl w:ilvl="0" w:tentative="0">
      <w:start w:val="1"/>
      <w:numFmt w:val="chineseCounting"/>
      <w:suff w:val="nothing"/>
      <w:lvlText w:val="%1、"/>
      <w:lvlJc w:val="left"/>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3B871F4"/>
    <w:rsid w:val="0417416B"/>
    <w:rsid w:val="066A261C"/>
    <w:rsid w:val="0BE61E15"/>
    <w:rsid w:val="0CCC685B"/>
    <w:rsid w:val="149D4767"/>
    <w:rsid w:val="173A6476"/>
    <w:rsid w:val="19935D99"/>
    <w:rsid w:val="224E4650"/>
    <w:rsid w:val="248F23AC"/>
    <w:rsid w:val="28422A24"/>
    <w:rsid w:val="28E804FD"/>
    <w:rsid w:val="2B9E493B"/>
    <w:rsid w:val="2D8C5899"/>
    <w:rsid w:val="2E657BCE"/>
    <w:rsid w:val="2F313A02"/>
    <w:rsid w:val="326616AD"/>
    <w:rsid w:val="35467EF4"/>
    <w:rsid w:val="358B76AD"/>
    <w:rsid w:val="3AEC1ED7"/>
    <w:rsid w:val="3C654F66"/>
    <w:rsid w:val="3D16713D"/>
    <w:rsid w:val="3DBA39FE"/>
    <w:rsid w:val="3DED6081"/>
    <w:rsid w:val="3DEF12B0"/>
    <w:rsid w:val="40A82832"/>
    <w:rsid w:val="41FB31EE"/>
    <w:rsid w:val="446F0737"/>
    <w:rsid w:val="4B73395D"/>
    <w:rsid w:val="4C940E7B"/>
    <w:rsid w:val="572D711E"/>
    <w:rsid w:val="58C57AF2"/>
    <w:rsid w:val="59847A88"/>
    <w:rsid w:val="60F20420"/>
    <w:rsid w:val="63C52ACF"/>
    <w:rsid w:val="650117A0"/>
    <w:rsid w:val="6608084A"/>
    <w:rsid w:val="68ED74A7"/>
    <w:rsid w:val="6CA95F52"/>
    <w:rsid w:val="6FF05E4C"/>
    <w:rsid w:val="75344604"/>
    <w:rsid w:val="776166CF"/>
    <w:rsid w:val="78E22EB2"/>
    <w:rsid w:val="79843EBF"/>
    <w:rsid w:val="7E2A7D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5">
    <w:name w:val="Normal Indent"/>
    <w:basedOn w:val="1"/>
    <w:qFormat/>
    <w:uiPriority w:val="0"/>
    <w:pPr>
      <w:ind w:firstLine="420"/>
    </w:pPr>
  </w:style>
  <w:style w:type="paragraph" w:styleId="7">
    <w:name w:val="Plain Text"/>
    <w:basedOn w:val="1"/>
    <w:qFormat/>
    <w:uiPriority w:val="0"/>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列出段落1"/>
    <w:basedOn w:val="1"/>
    <w:qFormat/>
    <w:uiPriority w:val="0"/>
    <w:pPr>
      <w:ind w:leftChars="200"/>
      <w:jc w:val="left"/>
    </w:pPr>
    <w:rPr>
      <w:rFonts w:ascii="Calibri" w:hAnsi="Calibri" w:eastAsia="PMingLiU" w:cs="宋体"/>
      <w:sz w:val="24"/>
      <w:szCs w:val="22"/>
      <w:lang w:eastAsia="zh-TW"/>
    </w:rPr>
  </w:style>
  <w:style w:type="paragraph" w:customStyle="1" w:styleId="16">
    <w:name w:val="pa-0"/>
    <w:basedOn w:val="1"/>
    <w:qFormat/>
    <w:uiPriority w:val="0"/>
    <w:pPr>
      <w:widowControl/>
      <w:spacing w:before="150" w:after="150"/>
      <w:jc w:val="left"/>
    </w:pPr>
    <w:rPr>
      <w:rFonts w:ascii="宋体" w:hAnsi="宋体" w:cs="宋体"/>
      <w:kern w:val="0"/>
      <w:sz w:val="24"/>
      <w:szCs w:val="24"/>
    </w:rPr>
  </w:style>
  <w:style w:type="paragraph" w:customStyle="1" w:styleId="17">
    <w:name w:val="Char"/>
    <w:basedOn w:val="1"/>
    <w:qFormat/>
    <w:uiPriority w:val="0"/>
    <w:pPr>
      <w:tabs>
        <w:tab w:val="left" w:pos="360"/>
      </w:tabs>
    </w:pPr>
    <w:rPr>
      <w:sz w:val="24"/>
      <w:szCs w:val="24"/>
    </w:rPr>
  </w:style>
  <w:style w:type="paragraph" w:customStyle="1" w:styleId="18">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列表段落"/>
    <w:basedOn w:val="1"/>
    <w:qFormat/>
    <w:uiPriority w:val="34"/>
    <w:pPr>
      <w:ind w:firstLine="420" w:firstLineChars="200"/>
    </w:pPr>
    <w:rPr>
      <w:rFonts w:ascii="Calibri" w:hAnsi="Calibri"/>
      <w:szCs w:val="22"/>
    </w:rPr>
  </w:style>
  <w:style w:type="paragraph" w:customStyle="1" w:styleId="20">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2020-10-16T06:57:19Z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