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南京邮电大学通达学院入侵防御系统采购项目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20015</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9</w:t>
      </w:r>
      <w:r>
        <w:rPr>
          <w:rFonts w:hint="eastAsia" w:ascii="宋体" w:hAnsi="宋体" w:cs="宋体"/>
          <w:b/>
          <w:sz w:val="30"/>
          <w:szCs w:val="30"/>
        </w:rPr>
        <w:t>月</w:t>
      </w:r>
    </w:p>
    <w:p>
      <w:pPr>
        <w:pStyle w:val="14"/>
        <w:ind w:firstLine="0"/>
        <w:jc w:val="center"/>
        <w:rPr>
          <w:rFonts w:hint="eastAsia" w:ascii="宋体" w:hAnsi="宋体" w:cs="宋体"/>
          <w:b/>
          <w:bCs/>
          <w:sz w:val="32"/>
        </w:rPr>
      </w:pP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16938516"/>
      <w:bookmarkStart w:id="2" w:name="_Toc20823272"/>
      <w:bookmarkStart w:id="3" w:name="_Toc479757206"/>
      <w:bookmarkStart w:id="4" w:name="_Toc523127445"/>
      <w:bookmarkStart w:id="5" w:name="_Toc513029200"/>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根据国家招投标的法律法规和南京邮电大学的相关规定，现对南京邮电大学通达学院入侵防御系统采购项目进行公开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采购项目名称及编号：南京邮电大学通达学院入侵防御系统采购项目。（项目编号TDHQ20</w:t>
      </w:r>
      <w:r>
        <w:rPr>
          <w:rFonts w:hint="eastAsia"/>
          <w:sz w:val="21"/>
          <w:szCs w:val="21"/>
          <w:lang w:val="en-US" w:eastAsia="zh-CN"/>
        </w:rPr>
        <w:t>20015</w:t>
      </w:r>
      <w:r>
        <w:rPr>
          <w:rFonts w:hint="eastAsia"/>
          <w:sz w:val="21"/>
          <w:szCs w:val="21"/>
        </w:rPr>
        <w:t>）</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lang w:eastAsia="zh-CN"/>
        </w:rPr>
        <w:t>入侵防御</w:t>
      </w:r>
      <w:r>
        <w:rPr>
          <w:rFonts w:hint="eastAsia"/>
          <w:sz w:val="21"/>
          <w:szCs w:val="21"/>
        </w:rPr>
        <w:t>系统1套（具体采购数量及要求参见甲方采购文件）。2.项目地点：扬州市润扬南路33号。3.技术条款咨询联系人：黄老师 ，联系电话：0514-89716020。（注：如不咨询，视为已理解该技术指标。）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 产品资质</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.1.1 产品必须具备公安部颁发的《计算机信息系统安全专用产品销售许可证》，级别须达到三级；</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.1.2 产品为近三年国内市场占有率前三名，提供权威第三方调查机构（IDC）的证明；</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.1.3 产品必须具备中国信息安全测评中心颁发的《国家信息安全测评信息技术产品安全测评证书》, 级别须达到EAL3+；</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.1.4 产品必须具备中国信息安全认证中心颁发的符合GB/T 28451-2012 《信息安全技术网络型入侵防御产品技术要求》第三级认证《中国国家信息安全产品认证证书》；</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.1.5 产品必须具备中国信息安全测评中心颁发的《国家信息安全漏洞库兼容性资质证书》；</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.1.6 产品应通过国际权威机构NSS Labs的IPS专项测试，获得Approved认证，并被认定为“Recommended”级别产品。</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产品厂家资质(提供截图并加盖原厂公章)</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.2.1厂家具备国家计算机网络应急技术处理协调中心颁发的《网络安全应急服务支撑单位证书（国家级）》；</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.2.2 厂家具备符合GB/T 28001-2011标准的《职业健康安全管理体系认证证书》；</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.2.3 厂家具备足够的信息安全服务技术实力及安全服务保障能力，获得中国网络安全审查技术与认证中心颁发的信息系统安全运维一级服务资质证书。</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lang w:val="en-US" w:eastAsia="zh-CN"/>
        </w:rPr>
        <w:t>6、</w:t>
      </w:r>
      <w:r>
        <w:rPr>
          <w:rFonts w:hint="eastAsia"/>
          <w:sz w:val="21"/>
          <w:szCs w:val="21"/>
        </w:rPr>
        <w:t>本项目不接受联合体投标。</w:t>
      </w:r>
    </w:p>
    <w:p>
      <w:pPr>
        <w:pStyle w:val="10"/>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1</w:t>
      </w:r>
      <w:r>
        <w:rPr>
          <w:rFonts w:hint="eastAsia"/>
          <w:sz w:val="21"/>
          <w:szCs w:val="21"/>
        </w:rPr>
        <w:t>0日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  具体开标时间、地点，递交标书时另行通知。</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七、缴纳费用：投标单位须在投标时缴纳100元标书费，1000元项目投标保证金。</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九</w:t>
      </w:r>
      <w:r>
        <w:rPr>
          <w:rFonts w:hint="eastAsia"/>
          <w:sz w:val="21"/>
          <w:szCs w:val="21"/>
        </w:rPr>
        <w:t>月</w:t>
      </w:r>
      <w:r>
        <w:rPr>
          <w:rFonts w:hint="eastAsia"/>
          <w:sz w:val="21"/>
          <w:szCs w:val="21"/>
          <w:lang w:eastAsia="zh-CN"/>
        </w:rPr>
        <w:t>四</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6938518"/>
      <w:bookmarkStart w:id="9" w:name="_Toc513029202"/>
      <w:bookmarkStart w:id="10" w:name="_Toc20823274"/>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20823275"/>
      <w:bookmarkStart w:id="13" w:name="_Toc120614214"/>
      <w:bookmarkStart w:id="14" w:name="_Toc16938519"/>
      <w:bookmarkStart w:id="15" w:name="_Toc513029203"/>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479757207"/>
      <w:bookmarkStart w:id="17" w:name="_Toc120614221"/>
      <w:bookmarkStart w:id="18" w:name="_Toc20823314"/>
      <w:bookmarkStart w:id="19" w:name="_Toc513029242"/>
      <w:bookmarkStart w:id="20" w:name="_Toc16938558"/>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20823315"/>
      <w:bookmarkStart w:id="22" w:name="_Toc16938559"/>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20614244"/>
      <w:bookmarkStart w:id="27" w:name="_Hlt16619350"/>
      <w:bookmarkStart w:id="28" w:name="_Toc1693859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w:t>
      </w:r>
      <w:r>
        <w:rPr>
          <w:rFonts w:hint="eastAsia" w:ascii="宋体" w:hAnsi="宋体" w:cs="宋体"/>
          <w:bCs/>
          <w:sz w:val="44"/>
          <w:lang w:val="en-US" w:eastAsia="zh-CN"/>
        </w:rPr>
        <w:t xml:space="preserve">  </w:t>
      </w:r>
      <w:bookmarkStart w:id="31" w:name="_Toc403722970"/>
      <w:bookmarkStart w:id="32" w:name="_Toc194758350"/>
      <w:bookmarkStart w:id="33" w:name="_Toc194757239"/>
      <w:r>
        <w:rPr>
          <w:rFonts w:hint="eastAsia" w:ascii="宋体" w:hAnsi="宋体" w:cs="宋体"/>
          <w:bCs/>
          <w:sz w:val="44"/>
          <w:lang w:eastAsia="zh-CN"/>
        </w:rPr>
        <w:t>入侵防御系统项目技术要求</w:t>
      </w:r>
    </w:p>
    <w:bookmarkEnd w:id="31"/>
    <w:bookmarkEnd w:id="32"/>
    <w:bookmarkEnd w:id="33"/>
    <w:p>
      <w:pPr>
        <w:numPr>
          <w:ilvl w:val="0"/>
          <w:numId w:val="3"/>
        </w:numPr>
        <w:spacing w:line="360" w:lineRule="auto"/>
        <w:rPr>
          <w:rFonts w:hint="eastAsia"/>
          <w:b/>
          <w:sz w:val="24"/>
        </w:rPr>
      </w:pPr>
      <w:r>
        <w:rPr>
          <w:rFonts w:hint="eastAsia"/>
          <w:b/>
          <w:sz w:val="24"/>
        </w:rPr>
        <w:t>项目介绍</w:t>
      </w:r>
    </w:p>
    <w:p>
      <w:pPr>
        <w:pStyle w:val="10"/>
        <w:spacing w:before="0" w:beforeAutospacing="0" w:after="0" w:afterAutospacing="0" w:line="360" w:lineRule="auto"/>
        <w:rPr>
          <w:rFonts w:hint="eastAsia" w:hAnsi="Times New Roman"/>
        </w:rPr>
      </w:pPr>
      <w:r>
        <w:rPr>
          <w:rFonts w:hint="eastAsia"/>
        </w:rPr>
        <w:tab/>
      </w:r>
      <w:r>
        <w:rPr>
          <w:rFonts w:hint="eastAsia"/>
        </w:rPr>
        <w:t>为</w:t>
      </w:r>
      <w:r>
        <w:rPr>
          <w:rFonts w:hint="eastAsia" w:hAnsi="Arial"/>
          <w:shd w:val="clear" w:color="auto" w:fill="FFFFFF"/>
        </w:rPr>
        <w:t>保障</w:t>
      </w:r>
      <w:r>
        <w:rPr>
          <w:rFonts w:hAnsi="Arial"/>
          <w:shd w:val="clear" w:color="auto" w:fill="FFFFFF"/>
        </w:rPr>
        <w:t>系统连续可靠正常地运行，</w:t>
      </w:r>
      <w:r>
        <w:rPr>
          <w:rFonts w:hint="eastAsia"/>
        </w:rPr>
        <w:t>保障南京邮电大学通达学院校园一卡通</w:t>
      </w:r>
      <w:r>
        <w:rPr>
          <w:rFonts w:hAnsi="Arial"/>
          <w:shd w:val="clear" w:color="auto" w:fill="FFFFFF"/>
        </w:rPr>
        <w:t>系统</w:t>
      </w:r>
      <w:r>
        <w:rPr>
          <w:rFonts w:hint="eastAsia" w:hAnsi="Arial"/>
          <w:shd w:val="clear" w:color="auto" w:fill="FFFFFF"/>
        </w:rPr>
        <w:t>安全，</w:t>
      </w:r>
      <w:r>
        <w:t>实时检测和阻断包括溢出攻击、RPC攻击、WebCGI攻击、拒绝服务攻击、木马、蠕虫、系统漏洞等，</w:t>
      </w:r>
      <w:r>
        <w:rPr>
          <w:rFonts w:hint="eastAsia"/>
        </w:rPr>
        <w:t>过滤有害数据流，丢弃有害数据包，并进行记载，以</w:t>
      </w:r>
    </w:p>
    <w:p>
      <w:pPr>
        <w:pStyle w:val="10"/>
        <w:spacing w:before="0" w:beforeAutospacing="0" w:after="0" w:afterAutospacing="0" w:line="360" w:lineRule="auto"/>
        <w:rPr>
          <w:rFonts w:hint="eastAsia"/>
        </w:rPr>
      </w:pPr>
      <w:r>
        <w:rPr>
          <w:rFonts w:hint="eastAsia"/>
        </w:rPr>
        <w:t>协助网络管理人员事后分析、追溯。</w:t>
      </w:r>
      <w:r>
        <w:t>有效的保护</w:t>
      </w:r>
      <w:r>
        <w:rPr>
          <w:rFonts w:hint="eastAsia"/>
        </w:rPr>
        <w:t>我院</w:t>
      </w:r>
      <w:r>
        <w:t>网络IT服务资源</w:t>
      </w:r>
      <w:r>
        <w:rPr>
          <w:rFonts w:hAnsi="Tahoma"/>
        </w:rPr>
        <w:t>。</w:t>
      </w:r>
      <w:r>
        <w:rPr>
          <w:rFonts w:hint="eastAsia" w:hAnsi="Tahoma"/>
        </w:rPr>
        <w:t>从而达到</w:t>
      </w:r>
      <w:r>
        <w:t>网络安全防护</w:t>
      </w:r>
      <w:r>
        <w:rPr>
          <w:rFonts w:hint="eastAsia"/>
        </w:rPr>
        <w:t>的目的，通达学院拟采购入侵防御系统一套。</w:t>
      </w:r>
    </w:p>
    <w:p>
      <w:pPr>
        <w:numPr>
          <w:ilvl w:val="0"/>
          <w:numId w:val="3"/>
        </w:numPr>
        <w:spacing w:line="360" w:lineRule="auto"/>
        <w:rPr>
          <w:rFonts w:hint="eastAsia" w:hAnsi="宋体"/>
          <w:b/>
          <w:sz w:val="24"/>
        </w:rPr>
      </w:pPr>
      <w:r>
        <w:rPr>
          <w:rFonts w:hint="eastAsia" w:hAnsi="宋体"/>
          <w:b/>
          <w:sz w:val="24"/>
        </w:rPr>
        <w:t>技术要求</w:t>
      </w:r>
    </w:p>
    <w:tbl>
      <w:tblPr>
        <w:tblStyle w:val="11"/>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7"/>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857" w:type="dxa"/>
            <w:shd w:val="clear" w:color="auto" w:fill="auto"/>
            <w:noWrap w:val="0"/>
            <w:vAlign w:val="top"/>
          </w:tcPr>
          <w:p>
            <w:pPr>
              <w:jc w:val="center"/>
              <w:rPr>
                <w:rFonts w:hint="eastAsia"/>
                <w:b/>
                <w:sz w:val="24"/>
              </w:rPr>
            </w:pPr>
            <w:bookmarkStart w:id="34" w:name="_Hlk529521973"/>
            <w:r>
              <w:rPr>
                <w:rFonts w:hint="eastAsia"/>
                <w:b/>
                <w:sz w:val="24"/>
              </w:rPr>
              <w:t>序号</w:t>
            </w:r>
          </w:p>
        </w:tc>
        <w:tc>
          <w:tcPr>
            <w:tcW w:w="1227" w:type="dxa"/>
            <w:shd w:val="clear" w:color="auto" w:fill="auto"/>
            <w:noWrap w:val="0"/>
            <w:vAlign w:val="top"/>
          </w:tcPr>
          <w:p>
            <w:pPr>
              <w:jc w:val="center"/>
              <w:rPr>
                <w:rFonts w:hint="eastAsia"/>
                <w:b/>
                <w:sz w:val="24"/>
              </w:rPr>
            </w:pPr>
            <w:r>
              <w:rPr>
                <w:rFonts w:hint="eastAsia"/>
                <w:b/>
                <w:sz w:val="24"/>
              </w:rPr>
              <w:t>指标项</w:t>
            </w:r>
          </w:p>
        </w:tc>
        <w:tc>
          <w:tcPr>
            <w:tcW w:w="6847" w:type="dxa"/>
            <w:shd w:val="clear" w:color="auto" w:fill="auto"/>
            <w:noWrap w:val="0"/>
            <w:vAlign w:val="top"/>
          </w:tcPr>
          <w:p>
            <w:pPr>
              <w:jc w:val="center"/>
              <w:rPr>
                <w:b/>
                <w:sz w:val="24"/>
              </w:rPr>
            </w:pPr>
            <w:r>
              <w:rPr>
                <w:rFonts w:hint="eastAsia"/>
                <w:b/>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57" w:type="dxa"/>
            <w:vMerge w:val="restart"/>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restart"/>
            <w:shd w:val="clear" w:color="auto" w:fill="auto"/>
            <w:noWrap w:val="0"/>
            <w:vAlign w:val="center"/>
          </w:tcPr>
          <w:p>
            <w:pPr>
              <w:spacing w:line="276" w:lineRule="auto"/>
              <w:rPr>
                <w:rFonts w:ascii="宋体" w:hAnsi="宋体" w:cs="Arial"/>
                <w:sz w:val="24"/>
              </w:rPr>
            </w:pPr>
            <w:r>
              <w:rPr>
                <w:rFonts w:hint="eastAsia" w:ascii="宋体" w:hAnsi="宋体" w:cs="Arial"/>
                <w:sz w:val="24"/>
              </w:rPr>
              <w:t>★设备要求</w:t>
            </w:r>
          </w:p>
        </w:tc>
        <w:tc>
          <w:tcPr>
            <w:tcW w:w="6847" w:type="dxa"/>
            <w:shd w:val="clear" w:color="auto" w:fill="auto"/>
            <w:noWrap w:val="0"/>
            <w:vAlign w:val="center"/>
          </w:tcPr>
          <w:p>
            <w:pPr>
              <w:widowControl/>
              <w:spacing w:line="276" w:lineRule="auto"/>
              <w:ind w:left="252"/>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机架式独立IPS硬件设备，全内置封闭式结构，具有完全自主知识产权的专用安全操作系统，稳定可靠，含交流冗余电源模块。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USB接口</w:t>
            </w:r>
            <w:r>
              <w:rPr>
                <w:rFonts w:hint="eastAsia" w:ascii="宋体" w:hAnsi="宋体" w:cs="宋体"/>
                <w:color w:val="000000"/>
                <w:sz w:val="18"/>
                <w:szCs w:val="18"/>
              </w:rPr>
              <w:sym w:font="Symbol" w:char="F0B3"/>
            </w:r>
            <w:r>
              <w:rPr>
                <w:rFonts w:hint="eastAsia" w:ascii="宋体" w:hAnsi="宋体" w:cs="宋体"/>
                <w:color w:val="000000"/>
                <w:kern w:val="0"/>
                <w:sz w:val="18"/>
                <w:szCs w:val="18"/>
                <w:lang w:bidi="ar"/>
              </w:rPr>
              <w:t>2;</w:t>
            </w:r>
          </w:p>
          <w:p>
            <w:pPr>
              <w:widowControl/>
              <w:spacing w:line="276" w:lineRule="auto"/>
              <w:ind w:left="252"/>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RJ45串口</w:t>
            </w:r>
            <w:r>
              <w:rPr>
                <w:rFonts w:hint="eastAsia" w:ascii="宋体" w:hAnsi="宋体" w:cs="宋体"/>
                <w:color w:val="000000"/>
                <w:sz w:val="18"/>
                <w:szCs w:val="18"/>
              </w:rPr>
              <w:sym w:font="Symbol" w:char="F0B3"/>
            </w:r>
            <w:r>
              <w:rPr>
                <w:rFonts w:hint="eastAsia" w:ascii="宋体" w:hAnsi="宋体" w:cs="宋体"/>
                <w:color w:val="000000"/>
                <w:sz w:val="18"/>
                <w:szCs w:val="18"/>
              </w:rPr>
              <w:t>1;</w:t>
            </w:r>
          </w:p>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GE管理口</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w:t>
            </w:r>
          </w:p>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配置≥4个千兆电口（支持2路Bypass）</w:t>
            </w:r>
            <w:r>
              <w:rPr>
                <w:rFonts w:hint="eastAsia" w:ascii="宋体" w:hAnsi="宋体" w:cs="宋体"/>
                <w:color w:val="000000"/>
                <w:sz w:val="18"/>
                <w:szCs w:val="18"/>
              </w:rPr>
              <w:sym w:font="Symbol" w:char="F0B3"/>
            </w:r>
            <w:r>
              <w:rPr>
                <w:rFonts w:hint="eastAsia" w:ascii="宋体" w:hAnsi="宋体" w:cs="宋体"/>
                <w:color w:val="000000"/>
                <w:sz w:val="18"/>
                <w:szCs w:val="18"/>
              </w:rPr>
              <w:t>4</w:t>
            </w:r>
            <w:r>
              <w:rPr>
                <w:rFonts w:hint="eastAsia" w:ascii="宋体" w:hAnsi="宋体" w:cs="宋体"/>
                <w:color w:val="000000"/>
                <w:kern w:val="0"/>
                <w:sz w:val="18"/>
                <w:szCs w:val="18"/>
                <w:lang w:bidi="ar"/>
              </w:rPr>
              <w:t>，</w:t>
            </w:r>
          </w:p>
          <w:p>
            <w:pPr>
              <w:widowControl/>
              <w:spacing w:line="276" w:lineRule="auto"/>
              <w:ind w:left="252"/>
              <w:textAlignment w:val="center"/>
              <w:rPr>
                <w:rFonts w:ascii="宋体" w:hAnsi="宋体" w:cs="宋体"/>
                <w:color w:val="000000"/>
                <w:sz w:val="18"/>
                <w:szCs w:val="18"/>
              </w:rPr>
            </w:pPr>
            <w:r>
              <w:rPr>
                <w:rFonts w:hint="eastAsia" w:ascii="宋体" w:hAnsi="宋体" w:cs="宋体"/>
                <w:color w:val="000000"/>
                <w:kern w:val="0"/>
                <w:sz w:val="18"/>
                <w:szCs w:val="18"/>
                <w:lang w:bidi="ar"/>
              </w:rPr>
              <w:t>扩展插槽</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网络吞吐量</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4Gbps；</w:t>
            </w:r>
          </w:p>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应用层吞吐量</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500Mbps；</w:t>
            </w:r>
          </w:p>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最大并发TCP会话</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200万；</w:t>
            </w:r>
          </w:p>
          <w:p>
            <w:pPr>
              <w:widowControl/>
              <w:spacing w:line="276" w:lineRule="auto"/>
              <w:ind w:left="252"/>
              <w:textAlignment w:val="center"/>
              <w:rPr>
                <w:rFonts w:ascii="宋体" w:hAnsi="宋体" w:cs="宋体"/>
                <w:color w:val="000000"/>
                <w:sz w:val="18"/>
                <w:szCs w:val="18"/>
              </w:rPr>
            </w:pPr>
            <w:r>
              <w:rPr>
                <w:rFonts w:hint="eastAsia" w:ascii="宋体" w:hAnsi="宋体" w:cs="宋体"/>
                <w:color w:val="000000"/>
                <w:kern w:val="0"/>
                <w:sz w:val="18"/>
                <w:szCs w:val="18"/>
                <w:lang w:bidi="ar"/>
              </w:rPr>
              <w:t>每秒新增TCP会话</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restart"/>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restart"/>
            <w:shd w:val="clear" w:color="auto" w:fill="auto"/>
            <w:noWrap w:val="0"/>
            <w:vAlign w:val="center"/>
          </w:tcPr>
          <w:p>
            <w:pPr>
              <w:spacing w:line="276" w:lineRule="auto"/>
              <w:rPr>
                <w:rFonts w:ascii="宋体" w:hAnsi="宋体" w:cs="Arial"/>
                <w:sz w:val="24"/>
              </w:rPr>
            </w:pPr>
            <w:r>
              <w:rPr>
                <w:rFonts w:hint="eastAsia" w:ascii="宋体" w:hAnsi="宋体" w:cs="Arial"/>
                <w:sz w:val="24"/>
              </w:rPr>
              <w:t>基础攻击防护</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提供覆盖广泛的攻击特征库，能够针对5000以上的攻击行为、异常事件，以及网络资源滥用流量，进行检测和防御。系统携带的攻击特征库须获得CVE-Compatible兼容性认证，</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提供丰富的响应方式，包括：会话阻断、IP隔离、例外规则等功能，满足用户各种响应需求。针对I</w:t>
            </w:r>
            <w:r>
              <w:rPr>
                <w:rFonts w:ascii="宋体" w:hAnsi="宋体" w:cs="Arial"/>
                <w:sz w:val="18"/>
                <w:szCs w:val="18"/>
              </w:rPr>
              <w:t>P</w:t>
            </w:r>
            <w:r>
              <w:rPr>
                <w:rFonts w:hint="eastAsia" w:ascii="宋体" w:hAnsi="宋体" w:cs="Arial"/>
                <w:sz w:val="18"/>
                <w:szCs w:val="18"/>
              </w:rPr>
              <w:t>隔离需要</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rPr>
                <w:rFonts w:hint="eastAsia" w:ascii="宋体" w:hAnsi="宋体" w:cs="Arial"/>
                <w:sz w:val="18"/>
                <w:szCs w:val="18"/>
              </w:rPr>
            </w:pPr>
            <w:r>
              <w:rPr>
                <w:rFonts w:hint="eastAsia" w:ascii="宋体" w:hAnsi="宋体" w:cs="Arial"/>
                <w:sz w:val="18"/>
                <w:szCs w:val="18"/>
              </w:rPr>
              <w:t>支持基于</w:t>
            </w:r>
            <w:r>
              <w:rPr>
                <w:rFonts w:ascii="宋体" w:hAnsi="宋体" w:cs="Arial"/>
                <w:sz w:val="18"/>
                <w:szCs w:val="18"/>
              </w:rPr>
              <w:t>SCADA等工控</w:t>
            </w:r>
            <w:r>
              <w:rPr>
                <w:rFonts w:hint="eastAsia" w:ascii="宋体" w:hAnsi="宋体" w:cs="Arial"/>
                <w:sz w:val="18"/>
                <w:szCs w:val="18"/>
              </w:rPr>
              <w:t>协议的相关漏洞攻击检测，</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restart"/>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restart"/>
            <w:shd w:val="clear" w:color="auto" w:fill="auto"/>
            <w:noWrap w:val="0"/>
            <w:vAlign w:val="center"/>
          </w:tcPr>
          <w:p>
            <w:pPr>
              <w:spacing w:line="276" w:lineRule="auto"/>
              <w:rPr>
                <w:rFonts w:ascii="宋体" w:hAnsi="宋体" w:cs="Arial"/>
                <w:sz w:val="24"/>
              </w:rPr>
            </w:pPr>
            <w:r>
              <w:rPr>
                <w:rFonts w:hint="eastAsia" w:ascii="宋体" w:hAnsi="宋体" w:cs="Arial"/>
                <w:sz w:val="24"/>
              </w:rPr>
              <w:t>数据泄露防护</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提供敏感数据外发的防护功能，能够识别通过自身的敏感数据信息（身份证号、银行卡、手机号等）。</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numPr>
                <w:ilvl w:val="0"/>
                <w:numId w:val="5"/>
              </w:numPr>
              <w:spacing w:line="276" w:lineRule="auto"/>
              <w:rPr>
                <w:rFonts w:hint="eastAsia" w:ascii="宋体" w:hAnsi="宋体"/>
                <w:color w:val="000000"/>
                <w:sz w:val="18"/>
                <w:szCs w:val="18"/>
              </w:rPr>
            </w:pPr>
            <w:r>
              <w:rPr>
                <w:rFonts w:hint="eastAsia" w:ascii="宋体" w:hAnsi="宋体"/>
                <w:color w:val="000000"/>
                <w:sz w:val="18"/>
                <w:szCs w:val="18"/>
                <w:shd w:val="clear" w:color="auto" w:fill="FFFFFF"/>
              </w:rPr>
              <w:t>提供关键文件保护功能，能够识别、阻断通过自身的关键文件，防止</w:t>
            </w:r>
            <w:r>
              <w:rPr>
                <w:rFonts w:hint="eastAsia" w:ascii="宋体" w:hAnsi="宋体"/>
                <w:color w:val="000000"/>
                <w:sz w:val="18"/>
                <w:szCs w:val="18"/>
              </w:rPr>
              <w:t>非法外传行为。能识别的关键文件类型应包含至少以下几类：</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文档类如Excel、PDF、PowerPoint、Word等，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压缩文件类如CAB、GZIP、RAR、ZIP、JAR等，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图像类如BMP、GIF、JPEG等，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音频视频类如MP3、AVI、MKV、MP4、MPEG、WMV等，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脚本类如BAT、CMD、WSF等，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程序类如APK、DLL、EXE、JAVA_CLASS等。</w:t>
            </w:r>
          </w:p>
          <w:p>
            <w:pPr>
              <w:spacing w:line="276" w:lineRule="auto"/>
              <w:ind w:firstLine="270" w:firstLineChars="150"/>
              <w:rPr>
                <w:rFonts w:ascii="宋体" w:hAnsi="宋体" w:cs="Arial"/>
                <w:sz w:val="18"/>
                <w:szCs w:val="18"/>
              </w:rPr>
            </w:pP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rPr>
                <w:rFonts w:ascii="宋体" w:hAnsi="宋体" w:cs="Arial"/>
                <w:sz w:val="18"/>
                <w:szCs w:val="18"/>
              </w:rPr>
            </w:pPr>
            <w:r>
              <w:rPr>
                <w:rFonts w:hint="eastAsia" w:ascii="宋体" w:hAnsi="宋体"/>
                <w:color w:val="000000"/>
                <w:sz w:val="18"/>
                <w:szCs w:val="18"/>
                <w:shd w:val="clear" w:color="auto" w:fill="FFFFFF"/>
              </w:rPr>
              <w:t>提供服务器异常告警功能，可以自学习服务器正常工作行为；检测处服务器非法外联行为</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7" w:type="dxa"/>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shd w:val="clear" w:color="auto" w:fill="auto"/>
            <w:noWrap w:val="0"/>
            <w:vAlign w:val="center"/>
          </w:tcPr>
          <w:p>
            <w:pPr>
              <w:spacing w:line="276" w:lineRule="auto"/>
              <w:rPr>
                <w:rFonts w:ascii="宋体" w:hAnsi="宋体" w:cs="Arial"/>
                <w:sz w:val="24"/>
              </w:rPr>
            </w:pPr>
            <w:r>
              <w:rPr>
                <w:rFonts w:hint="eastAsia" w:ascii="宋体" w:hAnsi="宋体" w:cs="Arial"/>
                <w:sz w:val="24"/>
              </w:rPr>
              <w:t>资产识别</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提供基于资产的保护，具备资产识别功能，包括操作系统、浏览器、应用类型等客户资产相关信息的识别能力。提供界面截图</w:t>
            </w:r>
            <w:r>
              <w:rPr>
                <w:rFonts w:hint="eastAsia" w:ascii="宋体" w:hAnsi="宋体" w:cs="宋体"/>
                <w:sz w:val="18"/>
                <w:szCs w:val="18"/>
              </w:rPr>
              <w:t>，并加盖鲜红公章</w:t>
            </w:r>
            <w:r>
              <w:rPr>
                <w:rFonts w:hint="eastAsia" w:ascii="宋体" w:hAnsi="宋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shd w:val="clear" w:color="auto" w:fill="auto"/>
            <w:noWrap w:val="0"/>
            <w:vAlign w:val="center"/>
          </w:tcPr>
          <w:p>
            <w:pPr>
              <w:spacing w:line="276" w:lineRule="auto"/>
              <w:rPr>
                <w:rFonts w:ascii="宋体" w:hAnsi="宋体" w:cs="Arial"/>
                <w:sz w:val="24"/>
              </w:rPr>
            </w:pPr>
            <w:r>
              <w:rPr>
                <w:rFonts w:hint="eastAsia" w:ascii="宋体" w:hAnsi="宋体" w:cs="Arial"/>
                <w:sz w:val="24"/>
              </w:rPr>
              <w:t>手机A</w:t>
            </w:r>
            <w:r>
              <w:rPr>
                <w:rFonts w:ascii="宋体" w:hAnsi="宋体" w:cs="Arial"/>
                <w:sz w:val="24"/>
              </w:rPr>
              <w:t>PP</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支持通过手机APP实时获得设备运行状态，接收安全咨询，查看攻击事件和统计信息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restart"/>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restart"/>
            <w:shd w:val="clear" w:color="auto" w:fill="auto"/>
            <w:noWrap w:val="0"/>
            <w:vAlign w:val="center"/>
          </w:tcPr>
          <w:p>
            <w:pPr>
              <w:spacing w:line="276" w:lineRule="auto"/>
              <w:rPr>
                <w:rFonts w:ascii="宋体" w:hAnsi="宋体" w:cs="Arial"/>
                <w:sz w:val="24"/>
              </w:rPr>
            </w:pPr>
            <w:r>
              <w:rPr>
                <w:rFonts w:hint="eastAsia" w:ascii="宋体" w:hAnsi="宋体" w:cs="Arial"/>
                <w:sz w:val="24"/>
              </w:rPr>
              <w:t>管理能力</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xml:space="preserve">★   </w:t>
            </w:r>
            <w:r>
              <w:rPr>
                <w:rFonts w:ascii="宋体" w:hAnsi="宋体" w:cs="Arial"/>
                <w:sz w:val="18"/>
                <w:szCs w:val="18"/>
              </w:rPr>
              <w:t>支持</w:t>
            </w:r>
            <w:r>
              <w:rPr>
                <w:rFonts w:hint="eastAsia" w:ascii="宋体" w:hAnsi="宋体" w:cs="Arial"/>
                <w:sz w:val="18"/>
                <w:szCs w:val="18"/>
              </w:rPr>
              <w:t>“</w:t>
            </w:r>
            <w:r>
              <w:rPr>
                <w:rFonts w:ascii="宋体" w:hAnsi="宋体" w:cs="Arial"/>
                <w:sz w:val="18"/>
                <w:szCs w:val="18"/>
              </w:rPr>
              <w:t>一键巡检</w:t>
            </w:r>
            <w:r>
              <w:rPr>
                <w:rFonts w:hint="eastAsia" w:ascii="宋体" w:hAnsi="宋体" w:cs="Arial"/>
                <w:sz w:val="18"/>
                <w:szCs w:val="18"/>
              </w:rPr>
              <w:t>”</w:t>
            </w:r>
            <w:r>
              <w:rPr>
                <w:rFonts w:ascii="宋体" w:hAnsi="宋体" w:cs="Arial"/>
                <w:sz w:val="18"/>
                <w:szCs w:val="18"/>
              </w:rPr>
              <w:t>功能，</w:t>
            </w:r>
            <w:r>
              <w:rPr>
                <w:rFonts w:hint="eastAsia" w:ascii="宋体" w:hAnsi="宋体" w:cs="Arial"/>
                <w:sz w:val="18"/>
                <w:szCs w:val="18"/>
              </w:rPr>
              <w:t>可自动分析，生成图表相结合的安全报告。提供界面截图</w:t>
            </w:r>
            <w:r>
              <w:rPr>
                <w:rFonts w:hint="eastAsia" w:ascii="宋体" w:hAnsi="宋体" w:cs="宋体"/>
                <w:sz w:val="18"/>
                <w:szCs w:val="18"/>
              </w:rPr>
              <w:t>，并加盖鲜红公章</w:t>
            </w:r>
            <w:r>
              <w:rPr>
                <w:rFonts w:hint="eastAsia" w:ascii="宋体" w:hAnsi="宋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1" w:leftChars="34" w:hanging="180" w:hangingChars="100"/>
              <w:rPr>
                <w:rFonts w:ascii="宋体" w:hAnsi="宋体" w:cs="Arial"/>
                <w:sz w:val="18"/>
                <w:szCs w:val="18"/>
              </w:rPr>
            </w:pPr>
            <w:r>
              <w:rPr>
                <w:rFonts w:hint="eastAsia" w:ascii="宋体" w:hAnsi="宋体" w:cs="Arial"/>
                <w:sz w:val="18"/>
                <w:szCs w:val="18"/>
              </w:rPr>
              <w:t>★    可实现对误报事件进行一键关联反馈功能，反馈给厂家，用以确认分析。</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rPr>
                <w:rFonts w:hint="eastAsia" w:ascii="宋体" w:hAnsi="宋体" w:cs="Arial"/>
                <w:sz w:val="18"/>
                <w:szCs w:val="18"/>
              </w:rPr>
            </w:pPr>
            <w:r>
              <w:rPr>
                <w:rFonts w:hint="eastAsia" w:ascii="宋体" w:hAnsi="宋体" w:cs="Arial"/>
                <w:sz w:val="18"/>
                <w:szCs w:val="18"/>
              </w:rPr>
              <w:t>可监控设备CPU温度，主板温度，风扇的转速的异常状态。</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rPr>
                <w:rFonts w:ascii="宋体" w:hAnsi="宋体" w:cs="Arial"/>
                <w:sz w:val="18"/>
                <w:szCs w:val="18"/>
              </w:rPr>
            </w:pPr>
            <w:r>
              <w:rPr>
                <w:rFonts w:hint="eastAsia" w:ascii="宋体" w:hAnsi="宋体" w:cs="Arial"/>
                <w:sz w:val="18"/>
                <w:szCs w:val="18"/>
              </w:rPr>
              <w:t>智能识别内网的IP对应的邮件用户，ftp用户，即时通讯用户，网站登录用户，数据库登录用户，远程登录用户，安全日志能与用户身份关联。</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p>
        </w:tc>
      </w:tr>
      <w:bookmarkEnd w:id="34"/>
    </w:tbl>
    <w:p>
      <w:pPr>
        <w:widowControl/>
        <w:tabs>
          <w:tab w:val="left" w:pos="1620"/>
        </w:tabs>
        <w:spacing w:line="360" w:lineRule="auto"/>
        <w:ind w:left="540" w:hanging="540" w:hangingChars="225"/>
        <w:jc w:val="left"/>
        <w:rPr>
          <w:rFonts w:hint="eastAsia"/>
          <w:kern w:val="0"/>
          <w:sz w:val="24"/>
        </w:rPr>
      </w:pPr>
    </w:p>
    <w:p>
      <w:pPr>
        <w:numPr>
          <w:ilvl w:val="0"/>
          <w:numId w:val="3"/>
        </w:numPr>
        <w:spacing w:line="360" w:lineRule="auto"/>
        <w:rPr>
          <w:rFonts w:hint="eastAsia" w:hAnsi="宋体"/>
          <w:b/>
          <w:bCs/>
          <w:sz w:val="24"/>
        </w:rPr>
      </w:pPr>
      <w:r>
        <w:rPr>
          <w:kern w:val="0"/>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342900" cy="2971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27pt;margin-top:0pt;height:23.4pt;width:27pt;z-index:251659264;mso-width-relative:page;mso-height-relative:page;" fillcolor="#FFFFFF" filled="t" stroked="f" coordsize="21600,21600" o:gfxdata="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3pl3h0wAAAAQBAAAPAAAAAAAA&#10;AAEAIAAAACIAAABkcnMvZG93bnJldi54bWxQSwECFAAUAAAACACHTuJAtFk5BKUBAAAoAwAADgAA&#10;AAAAAAABACAAAAAiAQAAZHJzL2Uyb0RvYy54bWxQSwUGAAAAAAYABgBZAQAAOQU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r>
        <w:rPr>
          <w:rFonts w:hint="eastAsia" w:ascii="宋体" w:hAnsi="宋体" w:cs="宋体"/>
          <w:b/>
          <w:kern w:val="0"/>
          <w:sz w:val="24"/>
        </w:rPr>
        <w:t>资质和授权</w:t>
      </w:r>
      <w:r>
        <w:rPr>
          <w:rFonts w:hint="eastAsia" w:hAnsi="宋体"/>
          <w:b/>
          <w:bCs/>
          <w:sz w:val="24"/>
        </w:rPr>
        <w:t>要求</w:t>
      </w:r>
      <w:r>
        <w:rPr>
          <w:sz w:val="24"/>
        </w:rPr>
        <w:t>(</w:t>
      </w:r>
      <w:r>
        <w:rPr>
          <w:rFonts w:hAnsi="宋体"/>
          <w:kern w:val="0"/>
          <w:sz w:val="24"/>
        </w:rPr>
        <w:t>提供截图并加盖原厂公章</w:t>
      </w:r>
      <w:r>
        <w:rPr>
          <w:sz w:val="24"/>
        </w:rPr>
        <w:t>)</w:t>
      </w:r>
    </w:p>
    <w:p>
      <w:pPr>
        <w:spacing w:line="360" w:lineRule="auto"/>
        <w:rPr>
          <w:kern w:val="0"/>
          <w:sz w:val="24"/>
        </w:rPr>
      </w:pPr>
      <w:r>
        <w:rPr>
          <w:bCs/>
          <w:sz w:val="24"/>
        </w:rPr>
        <w:t>3.1</w:t>
      </w:r>
      <w:r>
        <w:rPr>
          <w:rFonts w:hint="eastAsia"/>
          <w:bCs/>
          <w:sz w:val="24"/>
        </w:rPr>
        <w:t xml:space="preserve"> </w:t>
      </w:r>
      <w:r>
        <w:rPr>
          <w:rFonts w:hAnsi="宋体"/>
          <w:kern w:val="0"/>
          <w:sz w:val="24"/>
        </w:rPr>
        <w:t>产品资质</w:t>
      </w:r>
    </w:p>
    <w:p>
      <w:pPr>
        <w:widowControl/>
        <w:spacing w:line="360" w:lineRule="auto"/>
        <w:ind w:left="540" w:hanging="540" w:hangingChars="225"/>
        <w:jc w:val="left"/>
        <w:rPr>
          <w:rFonts w:hint="eastAsia" w:hAnsi="宋体"/>
          <w:kern w:val="0"/>
          <w:sz w:val="24"/>
        </w:rPr>
      </w:pPr>
      <w:r>
        <w:rPr>
          <w:rFonts w:hint="eastAsia" w:hAnsi="宋体"/>
          <w:kern w:val="0"/>
          <w:sz w:val="24"/>
        </w:rPr>
        <w:t xml:space="preserve">3.1.1 </w:t>
      </w:r>
      <w:r>
        <w:rPr>
          <w:rFonts w:hAnsi="宋体"/>
          <w:kern w:val="0"/>
          <w:sz w:val="24"/>
        </w:rPr>
        <w:t>产品必须具备公安部颁发的《计算机信息系统安全专用产品销售许可证》</w:t>
      </w:r>
      <w:r>
        <w:rPr>
          <w:rFonts w:hint="eastAsia" w:hAnsi="宋体"/>
          <w:kern w:val="0"/>
          <w:sz w:val="24"/>
        </w:rPr>
        <w:t>，</w:t>
      </w:r>
      <w:r>
        <w:rPr>
          <w:sz w:val="24"/>
        </w:rPr>
        <w:t>级别</w:t>
      </w:r>
      <w:r>
        <w:rPr>
          <w:rFonts w:hint="eastAsia"/>
          <w:sz w:val="24"/>
        </w:rPr>
        <w:t>须达到三级</w:t>
      </w:r>
      <w:r>
        <w:rPr>
          <w:rFonts w:hint="eastAsia" w:hAnsi="宋体"/>
          <w:kern w:val="0"/>
          <w:sz w:val="24"/>
        </w:rPr>
        <w:t>；</w:t>
      </w:r>
    </w:p>
    <w:p>
      <w:pPr>
        <w:widowControl/>
        <w:spacing w:line="360" w:lineRule="auto"/>
        <w:ind w:left="540" w:hanging="540" w:hangingChars="225"/>
        <w:jc w:val="left"/>
        <w:rPr>
          <w:rFonts w:hint="eastAsia"/>
          <w:kern w:val="0"/>
          <w:sz w:val="24"/>
        </w:rPr>
      </w:pPr>
      <w:r>
        <w:rPr>
          <w:rFonts w:hint="eastAsia" w:hAnsi="宋体"/>
          <w:kern w:val="0"/>
          <w:sz w:val="24"/>
        </w:rPr>
        <w:t>3.1.2 产品</w:t>
      </w:r>
      <w:r>
        <w:rPr>
          <w:rFonts w:hint="eastAsia" w:ascii="宋体" w:hAnsi="宋体" w:cs="宋体"/>
          <w:kern w:val="0"/>
          <w:sz w:val="24"/>
        </w:rPr>
        <w:t>为近三年国内市场占有率前三名，提供权威第三方调查机构（</w:t>
      </w:r>
      <w:r>
        <w:rPr>
          <w:rFonts w:ascii="宋体" w:hAnsi="宋体" w:cs="宋体"/>
          <w:kern w:val="0"/>
          <w:sz w:val="24"/>
        </w:rPr>
        <w:t>IDC</w:t>
      </w:r>
      <w:r>
        <w:rPr>
          <w:rFonts w:hint="eastAsia" w:ascii="宋体" w:hAnsi="宋体" w:cs="宋体"/>
          <w:kern w:val="0"/>
          <w:sz w:val="24"/>
        </w:rPr>
        <w:t>）的证明；</w:t>
      </w:r>
    </w:p>
    <w:p>
      <w:pPr>
        <w:widowControl/>
        <w:spacing w:line="360" w:lineRule="auto"/>
        <w:ind w:left="540" w:hanging="540" w:hangingChars="225"/>
        <w:jc w:val="left"/>
        <w:rPr>
          <w:rFonts w:hint="eastAsia"/>
          <w:kern w:val="0"/>
          <w:sz w:val="24"/>
        </w:rPr>
      </w:pPr>
      <w:r>
        <w:rPr>
          <w:kern w:val="0"/>
          <w:sz w:val="24"/>
        </w:rPr>
        <w:t xml:space="preserve">3.1.3 </w:t>
      </w:r>
      <w:r>
        <w:rPr>
          <w:rFonts w:hint="eastAsia"/>
          <w:kern w:val="0"/>
          <w:sz w:val="24"/>
        </w:rPr>
        <w:t>产品必须具备中国信息安全测评中心颁发的《国家信息安全测评信息技术产品安全测评证书》, 级别须达到EAL3+；</w:t>
      </w:r>
    </w:p>
    <w:p>
      <w:pPr>
        <w:widowControl/>
        <w:spacing w:line="360" w:lineRule="auto"/>
        <w:ind w:left="540" w:hanging="540" w:hangingChars="225"/>
        <w:jc w:val="left"/>
        <w:rPr>
          <w:kern w:val="0"/>
          <w:sz w:val="24"/>
        </w:rPr>
      </w:pPr>
      <w:r>
        <w:rPr>
          <w:kern w:val="0"/>
          <w:sz w:val="24"/>
        </w:rPr>
        <w:t>3.1.4 产品必须</w:t>
      </w:r>
      <w:r>
        <w:rPr>
          <w:rFonts w:hint="eastAsia" w:hAnsi="宋体"/>
          <w:sz w:val="24"/>
        </w:rPr>
        <w:t>具备</w:t>
      </w:r>
      <w:r>
        <w:rPr>
          <w:rFonts w:hAnsi="宋体"/>
          <w:sz w:val="24"/>
        </w:rPr>
        <w:t>中国信息安全认证中心颁发的符合</w:t>
      </w:r>
      <w:r>
        <w:rPr>
          <w:sz w:val="24"/>
        </w:rPr>
        <w:t xml:space="preserve">GB/T 28451-2012 </w:t>
      </w:r>
      <w:r>
        <w:rPr>
          <w:rFonts w:hAnsi="宋体"/>
          <w:sz w:val="24"/>
        </w:rPr>
        <w:t>《信息安全技术</w:t>
      </w:r>
      <w:r>
        <w:rPr>
          <w:rFonts w:hint="eastAsia" w:hAnsi="宋体"/>
          <w:sz w:val="24"/>
        </w:rPr>
        <w:t>网络型入侵防御</w:t>
      </w:r>
      <w:r>
        <w:rPr>
          <w:rFonts w:hAnsi="宋体"/>
          <w:sz w:val="24"/>
        </w:rPr>
        <w:t>产品技术要求》</w:t>
      </w:r>
      <w:r>
        <w:rPr>
          <w:rFonts w:hint="eastAsia" w:hAnsi="宋体"/>
          <w:sz w:val="24"/>
        </w:rPr>
        <w:t>第三</w:t>
      </w:r>
      <w:r>
        <w:rPr>
          <w:rFonts w:hAnsi="宋体"/>
          <w:sz w:val="24"/>
        </w:rPr>
        <w:t>级认证《中国国家信息安全产品认证证书》</w:t>
      </w:r>
      <w:r>
        <w:rPr>
          <w:rFonts w:hint="eastAsia" w:hAnsi="宋体"/>
          <w:sz w:val="24"/>
        </w:rPr>
        <w:t>；</w:t>
      </w:r>
    </w:p>
    <w:p>
      <w:pPr>
        <w:widowControl/>
        <w:spacing w:line="360" w:lineRule="auto"/>
        <w:ind w:left="540" w:hanging="540" w:hangingChars="225"/>
        <w:jc w:val="left"/>
        <w:rPr>
          <w:rFonts w:hint="eastAsia"/>
          <w:kern w:val="0"/>
          <w:sz w:val="24"/>
        </w:rPr>
      </w:pPr>
      <w:r>
        <w:rPr>
          <w:rFonts w:hint="eastAsia"/>
          <w:kern w:val="0"/>
          <w:sz w:val="24"/>
        </w:rPr>
        <w:t>3</w:t>
      </w:r>
      <w:r>
        <w:rPr>
          <w:kern w:val="0"/>
          <w:sz w:val="24"/>
        </w:rPr>
        <w:t xml:space="preserve">.1.5 </w:t>
      </w:r>
      <w:r>
        <w:rPr>
          <w:rFonts w:hint="eastAsia"/>
          <w:kern w:val="0"/>
          <w:sz w:val="24"/>
        </w:rPr>
        <w:t>产品必须具备中国信息安全测评中心颁发的《国家信息安全漏洞库兼容性资质证书》；</w:t>
      </w:r>
    </w:p>
    <w:p>
      <w:pPr>
        <w:widowControl/>
        <w:spacing w:line="360" w:lineRule="auto"/>
        <w:ind w:left="540" w:hanging="540" w:hangingChars="225"/>
        <w:jc w:val="left"/>
        <w:rPr>
          <w:rFonts w:hint="eastAsia"/>
          <w:kern w:val="0"/>
          <w:sz w:val="24"/>
        </w:rPr>
      </w:pPr>
      <w:r>
        <w:rPr>
          <w:kern w:val="0"/>
          <w:sz w:val="24"/>
        </w:rPr>
        <w:t xml:space="preserve">3.1.6 </w:t>
      </w:r>
      <w:r>
        <w:rPr>
          <w:rFonts w:hint="eastAsia"/>
          <w:kern w:val="0"/>
          <w:sz w:val="24"/>
        </w:rPr>
        <w:t>产品应通过国际权威机构NSS Labs的IPS专项测试，获得Approved认证，并被认定为“Recommended”级别产品。</w:t>
      </w:r>
    </w:p>
    <w:p>
      <w:pPr>
        <w:numPr>
          <w:ilvl w:val="1"/>
          <w:numId w:val="6"/>
        </w:numPr>
        <w:spacing w:line="360" w:lineRule="auto"/>
        <w:rPr>
          <w:kern w:val="0"/>
          <w:sz w:val="24"/>
        </w:rPr>
      </w:pPr>
      <w:r>
        <w:rPr>
          <w:rFonts w:hint="eastAsia"/>
          <w:kern w:val="0"/>
          <w:sz w:val="24"/>
        </w:rPr>
        <w:t xml:space="preserve"> </w:t>
      </w:r>
      <w:r>
        <w:rPr>
          <w:rFonts w:hAnsi="宋体"/>
          <w:kern w:val="0"/>
          <w:sz w:val="24"/>
        </w:rPr>
        <w:t>产品厂家资质</w:t>
      </w:r>
      <w:r>
        <w:rPr>
          <w:sz w:val="24"/>
        </w:rPr>
        <w:t>(</w:t>
      </w:r>
      <w:r>
        <w:rPr>
          <w:rFonts w:hAnsi="宋体"/>
          <w:kern w:val="0"/>
          <w:sz w:val="24"/>
        </w:rPr>
        <w:t>提供截图并加盖原厂公章</w:t>
      </w:r>
      <w:r>
        <w:rPr>
          <w:sz w:val="24"/>
        </w:rPr>
        <w:t>)</w:t>
      </w:r>
    </w:p>
    <w:p>
      <w:pPr>
        <w:widowControl/>
        <w:spacing w:line="360" w:lineRule="auto"/>
        <w:ind w:left="540" w:hanging="540" w:hangingChars="225"/>
        <w:jc w:val="left"/>
        <w:rPr>
          <w:rFonts w:hint="eastAsia"/>
          <w:kern w:val="0"/>
          <w:sz w:val="24"/>
        </w:rPr>
      </w:pPr>
      <w:r>
        <w:rPr>
          <w:kern w:val="0"/>
          <w:sz w:val="24"/>
        </w:rPr>
        <w:t>3.2.1</w:t>
      </w:r>
      <w:r>
        <w:rPr>
          <w:rFonts w:hAnsi="宋体"/>
          <w:kern w:val="0"/>
          <w:sz w:val="24"/>
        </w:rPr>
        <w:t>厂家具备国家计算机网络应急技术处理协调中心颁发的《网络安全应急服务支撑单位证书（国家级）》</w:t>
      </w:r>
      <w:r>
        <w:rPr>
          <w:rFonts w:hint="eastAsia" w:hAnsi="宋体"/>
          <w:kern w:val="0"/>
          <w:sz w:val="24"/>
        </w:rPr>
        <w:t>；</w:t>
      </w:r>
    </w:p>
    <w:p>
      <w:pPr>
        <w:widowControl/>
        <w:spacing w:line="360" w:lineRule="auto"/>
        <w:ind w:left="540" w:hanging="540" w:hangingChars="225"/>
        <w:jc w:val="left"/>
        <w:rPr>
          <w:rFonts w:hint="eastAsia"/>
          <w:kern w:val="0"/>
          <w:sz w:val="24"/>
        </w:rPr>
      </w:pPr>
      <w:r>
        <w:rPr>
          <w:kern w:val="0"/>
          <w:sz w:val="24"/>
        </w:rPr>
        <w:t xml:space="preserve">3.2.2 </w:t>
      </w:r>
      <w:r>
        <w:rPr>
          <w:rFonts w:hint="eastAsia"/>
          <w:kern w:val="0"/>
          <w:sz w:val="24"/>
        </w:rPr>
        <w:t>厂家具备</w:t>
      </w:r>
      <w:r>
        <w:rPr>
          <w:rFonts w:hint="eastAsia" w:hAnsi="宋体"/>
          <w:kern w:val="0"/>
          <w:sz w:val="24"/>
        </w:rPr>
        <w:t>符合GB/T 28001-2011标准的《职业健康安全管理体系认证证书》；</w:t>
      </w:r>
    </w:p>
    <w:p>
      <w:pPr>
        <w:widowControl/>
        <w:spacing w:line="360" w:lineRule="auto"/>
        <w:ind w:left="540" w:hanging="540" w:hangingChars="225"/>
        <w:jc w:val="left"/>
        <w:rPr>
          <w:rFonts w:hint="eastAsia"/>
          <w:kern w:val="0"/>
          <w:sz w:val="24"/>
        </w:rPr>
      </w:pPr>
      <w:r>
        <w:rPr>
          <w:rFonts w:hint="eastAsia"/>
          <w:kern w:val="0"/>
          <w:sz w:val="24"/>
        </w:rPr>
        <w:t>3.2.3</w:t>
      </w:r>
      <w:r>
        <w:rPr>
          <w:kern w:val="0"/>
          <w:sz w:val="24"/>
        </w:rPr>
        <w:t xml:space="preserve"> </w:t>
      </w:r>
      <w:r>
        <w:rPr>
          <w:rFonts w:hint="eastAsia"/>
          <w:kern w:val="0"/>
          <w:sz w:val="24"/>
        </w:rPr>
        <w:t>厂家具备足够的信息安全服务技术实力及安全服务保障能力，获得中国网络安全审查技术与认证中心颁发的信息系统安全运维一级服务资质证书。</w:t>
      </w:r>
    </w:p>
    <w:p>
      <w:pPr>
        <w:widowControl/>
        <w:spacing w:line="360" w:lineRule="auto"/>
        <w:ind w:left="540" w:hanging="540" w:hangingChars="225"/>
        <w:jc w:val="left"/>
        <w:rPr>
          <w:kern w:val="0"/>
          <w:sz w:val="24"/>
        </w:rPr>
      </w:pPr>
    </w:p>
    <w:p>
      <w:pPr>
        <w:numPr>
          <w:ilvl w:val="0"/>
          <w:numId w:val="3"/>
        </w:numPr>
        <w:spacing w:line="360" w:lineRule="auto"/>
        <w:rPr>
          <w:rFonts w:hint="eastAsia" w:ascii="宋体" w:hAnsi="宋体"/>
          <w:b/>
          <w:bCs/>
          <w:sz w:val="24"/>
        </w:rPr>
      </w:pPr>
      <w:r>
        <w:rPr>
          <w:kern w:val="0"/>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0</wp:posOffset>
                </wp:positionV>
                <wp:extent cx="342900" cy="297180"/>
                <wp:effectExtent l="0" t="0" r="0" b="7620"/>
                <wp:wrapNone/>
                <wp:docPr id="3" name="文本框 3"/>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36pt;margin-top:0pt;height:23.4pt;width:27pt;z-index:251660288;mso-width-relative:page;mso-height-relative:page;" fillcolor="#FFFFFF" filled="t" stroked="f" coordsize="21600,21600" o:gfxdata="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kuoxnWAAAABwEAAA8A&#10;AAAAAAAAAQAgAAAAIgAAAGRycy9kb3ducmV2LnhtbFBLAQIUABQAAAAIAIdO4kAeZYEIpwEAACgD&#10;AAAOAAAAAAAAAAEAIAAAACUBAABkcnMvZTJvRG9jLnhtbFBLBQYAAAAABgAGAFkBAAA+BQ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r>
        <w:rPr>
          <w:rFonts w:hint="eastAsia" w:ascii="宋体" w:hAnsi="宋体"/>
          <w:b/>
          <w:bCs/>
          <w:sz w:val="24"/>
        </w:rPr>
        <w:t>安装调试服务</w:t>
      </w:r>
    </w:p>
    <w:p>
      <w:pPr>
        <w:numPr>
          <w:ilvl w:val="1"/>
          <w:numId w:val="7"/>
        </w:numPr>
        <w:spacing w:line="360" w:lineRule="auto"/>
        <w:rPr>
          <w:rFonts w:hint="eastAsia"/>
          <w:kern w:val="0"/>
          <w:sz w:val="24"/>
        </w:rPr>
      </w:pPr>
      <w:r>
        <w:rPr>
          <w:rFonts w:hint="eastAsia"/>
          <w:kern w:val="0"/>
          <w:sz w:val="24"/>
        </w:rPr>
        <w:t xml:space="preserve"> </w:t>
      </w:r>
      <w:r>
        <w:rPr>
          <w:kern w:val="0"/>
          <w:sz w:val="24"/>
        </w:rPr>
        <w:t>原厂工程师上门安装服务。</w:t>
      </w:r>
    </w:p>
    <w:p>
      <w:pPr>
        <w:numPr>
          <w:ilvl w:val="1"/>
          <w:numId w:val="7"/>
        </w:numPr>
        <w:tabs>
          <w:tab w:val="clear" w:pos="360"/>
        </w:tabs>
        <w:spacing w:line="360" w:lineRule="auto"/>
        <w:rPr>
          <w:rFonts w:hint="eastAsia" w:ascii="宋体" w:hAnsi="宋体"/>
          <w:bCs/>
          <w:sz w:val="24"/>
        </w:rPr>
      </w:pPr>
      <w:r>
        <w:rPr>
          <w:rFonts w:hint="eastAsia"/>
          <w:kern w:val="0"/>
          <w:sz w:val="24"/>
        </w:rPr>
        <w:t xml:space="preserve"> 提供不低于</w:t>
      </w:r>
      <w:r>
        <w:rPr>
          <w:rFonts w:hint="eastAsia" w:ascii="宋体" w:hAnsi="宋体"/>
          <w:kern w:val="0"/>
          <w:sz w:val="24"/>
        </w:rPr>
        <w:t>3年白银服务包-硬件产品，包含产品系统升级授权、产品保修服务、远程支持服务。</w:t>
      </w:r>
    </w:p>
    <w:p>
      <w:pPr>
        <w:numPr>
          <w:ilvl w:val="1"/>
          <w:numId w:val="7"/>
        </w:numPr>
        <w:tabs>
          <w:tab w:val="clear" w:pos="360"/>
        </w:tabs>
        <w:spacing w:line="360" w:lineRule="auto"/>
        <w:rPr>
          <w:rFonts w:hint="eastAsia" w:ascii="宋体" w:hAnsi="宋体"/>
          <w:bCs/>
          <w:sz w:val="24"/>
        </w:rPr>
      </w:pPr>
      <w:r>
        <w:rPr>
          <w:rFonts w:hint="eastAsia"/>
          <w:kern w:val="0"/>
          <w:sz w:val="24"/>
        </w:rPr>
        <w:t xml:space="preserve"> 提供</w:t>
      </w:r>
      <w:r>
        <w:rPr>
          <w:rFonts w:hint="eastAsia" w:ascii="宋体" w:hAnsi="宋体"/>
          <w:kern w:val="0"/>
          <w:sz w:val="24"/>
        </w:rPr>
        <w:t>现场产品使用培训</w:t>
      </w:r>
    </w:p>
    <w:p>
      <w:pPr>
        <w:numPr>
          <w:ilvl w:val="1"/>
          <w:numId w:val="7"/>
        </w:numPr>
        <w:tabs>
          <w:tab w:val="clear" w:pos="360"/>
        </w:tabs>
        <w:spacing w:line="360" w:lineRule="auto"/>
        <w:rPr>
          <w:rFonts w:hint="eastAsia" w:ascii="宋体" w:hAnsi="宋体"/>
          <w:bCs/>
          <w:sz w:val="24"/>
        </w:rPr>
      </w:pPr>
      <w:r>
        <w:rPr>
          <w:rFonts w:hint="eastAsia"/>
          <w:kern w:val="0"/>
          <w:sz w:val="24"/>
        </w:rPr>
        <w:t xml:space="preserve"> </w:t>
      </w:r>
      <w:r>
        <w:rPr>
          <w:kern w:val="0"/>
          <w:sz w:val="24"/>
        </w:rPr>
        <w:t>三年原厂商服务。</w:t>
      </w:r>
    </w:p>
    <w:p>
      <w:pPr>
        <w:spacing w:line="360" w:lineRule="auto"/>
        <w:rPr>
          <w:rFonts w:hint="eastAsia"/>
          <w:kern w:val="0"/>
          <w:sz w:val="24"/>
        </w:rPr>
      </w:pPr>
    </w:p>
    <w:p>
      <w:pPr>
        <w:pStyle w:val="10"/>
        <w:spacing w:before="0" w:beforeAutospacing="0" w:after="0" w:afterAutospacing="0"/>
        <w:rPr>
          <w:rFonts w:hint="eastAsia" w:ascii="微软雅黑" w:hAnsi="微软雅黑" w:eastAsia="微软雅黑"/>
          <w:color w:val="686868"/>
          <w:sz w:val="18"/>
          <w:szCs w:val="18"/>
        </w:rPr>
      </w:pPr>
      <w: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0</wp:posOffset>
                </wp:positionV>
                <wp:extent cx="342900" cy="297180"/>
                <wp:effectExtent l="0" t="0" r="0" b="7620"/>
                <wp:wrapNone/>
                <wp:docPr id="4" name="文本框 4"/>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Cs w:val="21"/>
                              </w:rPr>
                            </w:pPr>
                            <w:r>
                              <w:rPr>
                                <w:rFonts w:hint="eastAsia" w:ascii="宋体" w:hAnsi="宋体" w:cs="宋体"/>
                                <w:kern w:val="0"/>
                                <w:szCs w:val="21"/>
                              </w:rPr>
                              <w:t>★</w:t>
                            </w:r>
                          </w:p>
                        </w:txbxContent>
                      </wps:txbx>
                      <wps:bodyPr upright="1"/>
                    </wps:wsp>
                  </a:graphicData>
                </a:graphic>
              </wp:anchor>
            </w:drawing>
          </mc:Choice>
          <mc:Fallback>
            <w:pict>
              <v:shape id="_x0000_s1026" o:spid="_x0000_s1026" o:spt="202" type="#_x0000_t202" style="position:absolute;left:0pt;margin-left:27pt;margin-top:0pt;height:23.4pt;width:27pt;z-index:251658240;mso-width-relative:page;mso-height-relative:page;" fillcolor="#FFFFFF" filled="t" stroked="f" coordsize="21600,21600" o:gfxdata="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LaDnNUAAAAGAQAADwAA&#10;AAAAAAABACAAAAAiAAAAZHJzL2Rvd25yZXYueG1sUEsBAhQAFAAAAAgAh07iQEjSqS+nAQAAKAMA&#10;AA4AAAAAAAAAAQAgAAAAJAEAAGRycy9lMm9Eb2MueG1sUEsFBgAAAAAGAAYAWQEAAD0FAAAAAA==&#10;">
                <v:fill on="t" focussize="0,0"/>
                <v:stroke on="f"/>
                <v:imagedata o:title=""/>
                <o:lock v:ext="edit" aspectratio="f"/>
                <v:textbox>
                  <w:txbxContent>
                    <w:p>
                      <w:pPr>
                        <w:rPr>
                          <w:szCs w:val="21"/>
                        </w:rPr>
                      </w:pPr>
                      <w:r>
                        <w:rPr>
                          <w:rFonts w:hint="eastAsia" w:ascii="宋体" w:hAnsi="宋体" w:cs="宋体"/>
                          <w:kern w:val="0"/>
                          <w:szCs w:val="21"/>
                        </w:rPr>
                        <w:t>★</w:t>
                      </w:r>
                    </w:p>
                  </w:txbxContent>
                </v:textbox>
              </v:shape>
            </w:pict>
          </mc:Fallback>
        </mc:AlternateContent>
      </w:r>
      <w:r>
        <w:rPr>
          <w:rFonts w:hint="eastAsia"/>
          <w:sz w:val="18"/>
          <w:szCs w:val="18"/>
        </w:rPr>
        <w:t>注：“      ”为关键指标必须满足</w:t>
      </w:r>
    </w:p>
    <w:p>
      <w:pPr>
        <w:spacing w:line="360" w:lineRule="auto"/>
        <w:rPr>
          <w:rFonts w:hint="eastAsia" w:ascii="宋体" w:hAnsi="宋体"/>
          <w:bCs/>
          <w:sz w:val="24"/>
        </w:rPr>
      </w:pPr>
    </w:p>
    <w:p>
      <w:pPr>
        <w:numPr>
          <w:ilvl w:val="0"/>
          <w:numId w:val="3"/>
        </w:numPr>
        <w:spacing w:line="360" w:lineRule="auto"/>
        <w:rPr>
          <w:rFonts w:hint="eastAsia" w:ascii="宋体" w:hAnsi="宋体"/>
          <w:b/>
          <w:bCs/>
          <w:sz w:val="24"/>
        </w:rPr>
      </w:pPr>
      <w:r>
        <w:rPr>
          <w:rFonts w:hint="eastAsia" w:ascii="宋体" w:hAnsi="宋体"/>
          <w:b/>
          <w:color w:val="000000"/>
          <w:sz w:val="24"/>
        </w:rPr>
        <w:t>项目清单</w:t>
      </w:r>
    </w:p>
    <w:tbl>
      <w:tblPr>
        <w:tblStyle w:val="11"/>
        <w:tblW w:w="0" w:type="auto"/>
        <w:jc w:val="center"/>
        <w:tblLayout w:type="fixed"/>
        <w:tblCellMar>
          <w:top w:w="0" w:type="dxa"/>
          <w:left w:w="30" w:type="dxa"/>
          <w:bottom w:w="0" w:type="dxa"/>
          <w:right w:w="30" w:type="dxa"/>
        </w:tblCellMar>
      </w:tblPr>
      <w:tblGrid>
        <w:gridCol w:w="471"/>
        <w:gridCol w:w="1877"/>
        <w:gridCol w:w="2340"/>
        <w:gridCol w:w="642"/>
        <w:gridCol w:w="960"/>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18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23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rPr>
            </w:pPr>
            <w:r>
              <w:rPr>
                <w:rFonts w:hint="eastAsia" w:ascii="宋体" w:hAnsi="Arial" w:cs="宋体"/>
                <w:b/>
                <w:color w:val="000000"/>
                <w:kern w:val="0"/>
                <w:sz w:val="20"/>
                <w:szCs w:val="20"/>
              </w:rPr>
              <w:t>备注</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18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18"/>
                <w:szCs w:val="18"/>
              </w:rPr>
            </w:pPr>
            <w:r>
              <w:rPr>
                <w:rFonts w:hint="eastAsia" w:ascii="宋体" w:hAnsi="宋体" w:cs="宋体"/>
                <w:color w:val="000000"/>
                <w:sz w:val="18"/>
                <w:szCs w:val="18"/>
              </w:rPr>
              <w:t>入侵防御系统</w:t>
            </w:r>
          </w:p>
        </w:tc>
        <w:tc>
          <w:tcPr>
            <w:tcW w:w="23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18"/>
                <w:szCs w:val="18"/>
              </w:rPr>
            </w:pPr>
            <w:r>
              <w:rPr>
                <w:rFonts w:hint="eastAsia" w:ascii="宋体" w:hAnsi="宋体"/>
                <w:sz w:val="18"/>
                <w:szCs w:val="18"/>
              </w:rPr>
              <w:t>见本要求“二、技术要求”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18"/>
                <w:szCs w:val="18"/>
              </w:rPr>
            </w:pPr>
            <w:r>
              <w:rPr>
                <w:rFonts w:hint="eastAsia" w:ascii="宋体" w:hAnsi="Arial" w:cs="宋体"/>
                <w:kern w:val="0"/>
                <w:sz w:val="18"/>
                <w:szCs w:val="18"/>
              </w:rPr>
              <w:t>1</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spacing w:line="360" w:lineRule="auto"/>
        <w:rPr>
          <w:rFonts w:hint="eastAsia"/>
          <w:sz w:val="24"/>
        </w:rPr>
      </w:pPr>
    </w:p>
    <w:p>
      <w:pPr>
        <w:adjustRightInd w:val="0"/>
        <w:snapToGrid w:val="0"/>
        <w:spacing w:line="360" w:lineRule="exact"/>
        <w:rPr>
          <w:rFonts w:hint="eastAsia" w:ascii="宋体" w:hAnsi="宋体" w:cs="宋体"/>
          <w:sz w:val="24"/>
        </w:rPr>
      </w:pPr>
    </w:p>
    <w:p>
      <w:pPr>
        <w:pStyle w:val="16"/>
        <w:adjustRightInd w:val="0"/>
        <w:snapToGrid w:val="0"/>
        <w:spacing w:before="0" w:after="0" w:line="360" w:lineRule="exact"/>
        <w:rPr>
          <w:rFonts w:hint="eastAsia"/>
          <w:b/>
        </w:rPr>
      </w:pPr>
      <w:r>
        <w:rPr>
          <w:rFonts w:hint="eastAsia"/>
          <w:b/>
        </w:rPr>
        <w:t>六、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2、凡涉及</w:t>
      </w:r>
      <w:r>
        <w:rPr>
          <w:rFonts w:hint="eastAsia" w:ascii="宋体" w:hAnsi="宋体" w:cs="宋体"/>
          <w:sz w:val="24"/>
          <w:lang w:eastAsia="zh-CN"/>
        </w:rPr>
        <w:t>采购文件</w:t>
      </w:r>
      <w:r>
        <w:rPr>
          <w:rFonts w:hint="eastAsia" w:ascii="宋体" w:hAnsi="宋体" w:cs="宋体"/>
          <w:sz w:val="24"/>
        </w:rPr>
        <w:t>的补充说明和修改，均以南邮通达学院公示的补充通知为准。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5" w:name="_Toc26554093"/>
      <w:bookmarkStart w:id="36" w:name="_Toc49090575"/>
      <w:bookmarkStart w:id="37" w:name="_Toc120614281"/>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8"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8"/>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2.技术参数响应情况(3</w:t>
      </w:r>
      <w:r>
        <w:rPr>
          <w:rFonts w:hint="eastAsia" w:ascii="宋体" w:hAnsi="宋体"/>
          <w:b/>
          <w:bCs/>
          <w:color w:val="000000"/>
          <w:sz w:val="24"/>
          <w:lang w:val="en-US" w:eastAsia="zh-CN"/>
        </w:rPr>
        <w:t>0</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根据各投标文件对技术性能的响应情况（加“★”号技术参数，完全响应得24分，负偏离一项扣3分，正偏离一项加2分（</w:t>
      </w:r>
      <w:r>
        <w:rPr>
          <w:rFonts w:hint="eastAsia" w:ascii="宋体" w:hAnsi="宋体"/>
          <w:color w:val="000000"/>
          <w:sz w:val="24"/>
          <w:lang w:eastAsia="zh-CN"/>
        </w:rPr>
        <w:t>评审专家组</w:t>
      </w:r>
      <w:r>
        <w:rPr>
          <w:rFonts w:hint="eastAsia" w:ascii="宋体" w:hAnsi="宋体"/>
          <w:color w:val="000000"/>
          <w:sz w:val="24"/>
        </w:rPr>
        <w:t>认为超出指标有意义），最高得分为3</w:t>
      </w:r>
      <w:r>
        <w:rPr>
          <w:rFonts w:hint="eastAsia" w:ascii="宋体" w:hAnsi="宋体"/>
          <w:color w:val="000000"/>
          <w:sz w:val="24"/>
          <w:lang w:val="en-US" w:eastAsia="zh-CN"/>
        </w:rPr>
        <w:t>0</w:t>
      </w:r>
      <w:r>
        <w:rPr>
          <w:rFonts w:hint="eastAsia" w:ascii="宋体" w:hAnsi="宋体"/>
          <w:color w:val="000000"/>
          <w:sz w:val="24"/>
        </w:rPr>
        <w:t>分。有三项及以上负偏离本大项不得分。</w:t>
      </w:r>
    </w:p>
    <w:p>
      <w:pPr>
        <w:tabs>
          <w:tab w:val="left" w:pos="0"/>
          <w:tab w:val="left" w:pos="600"/>
          <w:tab w:val="left" w:pos="1134"/>
        </w:tabs>
        <w:adjustRightInd w:val="0"/>
        <w:snapToGrid w:val="0"/>
        <w:spacing w:line="360" w:lineRule="auto"/>
        <w:rPr>
          <w:rFonts w:hint="eastAsia" w:ascii="宋体" w:hAnsi="宋体"/>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
          <w:bCs/>
          <w:szCs w:val="21"/>
        </w:rPr>
        <w:t xml:space="preserve"> </w:t>
      </w:r>
      <w:r>
        <w:rPr>
          <w:rFonts w:hint="eastAsia" w:ascii="宋体" w:hAnsi="宋体"/>
          <w:b/>
          <w:bCs/>
          <w:szCs w:val="21"/>
          <w:lang w:val="en-US" w:eastAsia="zh-CN"/>
        </w:rPr>
        <w:t>3.</w:t>
      </w:r>
      <w:r>
        <w:rPr>
          <w:rFonts w:hint="eastAsia" w:ascii="宋体" w:hAnsi="宋体"/>
          <w:b/>
          <w:bCs/>
          <w:szCs w:val="21"/>
        </w:rPr>
        <w:t>质量与功能评价（</w:t>
      </w:r>
      <w:r>
        <w:rPr>
          <w:rFonts w:hint="eastAsia" w:ascii="宋体" w:hAnsi="宋体"/>
          <w:b/>
          <w:bCs/>
          <w:szCs w:val="21"/>
          <w:lang w:val="en-US" w:eastAsia="zh-CN"/>
        </w:rPr>
        <w:t>5</w:t>
      </w:r>
      <w:r>
        <w:rPr>
          <w:rFonts w:hint="eastAsia" w:ascii="宋体" w:hAnsi="宋体"/>
          <w:b/>
          <w:bCs/>
          <w:szCs w:val="21"/>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质量性能评价：5分，根据投标产品的配置合理性、可靠性、先进性等（提供有效期内的质量管理等证书）进行比较评分，产品配置合理、可靠性高得5分，产品配置一般、可靠性一般得3分，产品配置较差、可靠性差得1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4.</w:t>
      </w:r>
      <w:r>
        <w:rPr>
          <w:rFonts w:hint="eastAsia" w:ascii="宋体" w:hAnsi="宋体"/>
          <w:b/>
          <w:sz w:val="24"/>
        </w:rPr>
        <w:t>售后服务和承诺（</w:t>
      </w:r>
      <w:r>
        <w:rPr>
          <w:rFonts w:hint="eastAsia" w:ascii="宋体" w:hAnsi="宋体"/>
          <w:b/>
          <w:sz w:val="24"/>
          <w:lang w:val="en-US" w:eastAsia="zh-CN"/>
        </w:rPr>
        <w:t>15</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（1）维保期内及期后服务方案：如服务体系、服务内容</w:t>
      </w:r>
      <w:r>
        <w:rPr>
          <w:rFonts w:hint="eastAsia" w:ascii="宋体" w:hAnsi="宋体"/>
          <w:color w:val="000000"/>
          <w:sz w:val="24"/>
          <w:lang w:eastAsia="zh-CN"/>
        </w:rPr>
        <w:t>、培训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bookmarkStart w:id="59" w:name="_GoBack"/>
      <w:bookmarkEnd w:id="59"/>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w:t>
      </w:r>
      <w:r>
        <w:rPr>
          <w:rFonts w:hint="eastAsia" w:ascii="宋体" w:hAnsi="宋体"/>
          <w:color w:val="000000"/>
          <w:sz w:val="24"/>
        </w:rPr>
        <w:t>需求，得3分；免费维保期每延长1年，加2分，最高加4分；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响应时间3分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5</w:t>
      </w:r>
      <w:r>
        <w:rPr>
          <w:rFonts w:hint="eastAsia" w:ascii="宋体" w:hAnsi="宋体"/>
          <w:b/>
          <w:sz w:val="24"/>
        </w:rPr>
        <w:t xml:space="preserve">.投标人履行合同的能力及业绩（10分）        </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sz w:val="24"/>
        </w:rPr>
      </w:pPr>
      <w:r>
        <w:rPr>
          <w:rFonts w:hint="eastAsia" w:ascii="宋体" w:hAnsi="宋体"/>
          <w:sz w:val="24"/>
        </w:rPr>
        <w:t>（1）主要对投标人的</w:t>
      </w:r>
      <w:r>
        <w:rPr>
          <w:rFonts w:hint="eastAsia" w:ascii="宋体" w:hAnsi="宋体"/>
          <w:sz w:val="24"/>
          <w:lang w:eastAsia="zh-CN"/>
        </w:rPr>
        <w:t>公司综合实力</w:t>
      </w:r>
      <w:r>
        <w:rPr>
          <w:rFonts w:hint="eastAsia" w:ascii="宋体" w:hAnsi="宋体"/>
          <w:sz w:val="24"/>
        </w:rPr>
        <w:t>、银行资信、经营状况等进行评价。（4分）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p>
    <w:p>
      <w:pPr>
        <w:shd w:val="clear" w:color="auto" w:fill="FFFFFF"/>
        <w:snapToGrid w:val="0"/>
        <w:spacing w:line="380" w:lineRule="exact"/>
        <w:rPr>
          <w:rFonts w:ascii="宋体" w:hAnsi="宋体"/>
          <w:b/>
          <w:sz w:val="24"/>
        </w:rPr>
      </w:pPr>
    </w:p>
    <w:p>
      <w:pPr>
        <w:spacing w:line="480" w:lineRule="exact"/>
        <w:ind w:firstLine="600" w:firstLineChars="250"/>
        <w:rPr>
          <w:rFonts w:ascii="宋体" w:hAnsi="宋体" w:cs="Arial"/>
          <w:color w:val="000000"/>
          <w:sz w:val="24"/>
        </w:rPr>
      </w:pPr>
    </w:p>
    <w:p>
      <w:pPr>
        <w:spacing w:line="400" w:lineRule="exact"/>
        <w:ind w:firstLine="600" w:firstLineChars="250"/>
        <w:rPr>
          <w:rFonts w:ascii="宋体" w:hAnsi="宋体" w:cs="Arial"/>
          <w:color w:val="000000"/>
          <w:sz w:val="24"/>
        </w:rPr>
      </w:pPr>
    </w:p>
    <w:bookmarkEnd w:id="29"/>
    <w:bookmarkEnd w:id="30"/>
    <w:bookmarkEnd w:id="35"/>
    <w:bookmarkEnd w:id="36"/>
    <w:bookmarkEnd w:id="37"/>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9" w:name="_Hlt26671244"/>
      <w:bookmarkEnd w:id="39"/>
      <w:bookmarkStart w:id="40" w:name="_Hlt26955039"/>
      <w:bookmarkEnd w:id="40"/>
      <w:bookmarkStart w:id="41" w:name="_Toc26554094"/>
      <w:bookmarkStart w:id="42" w:name="_Toc49090576"/>
      <w:bookmarkStart w:id="43"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bookmarkEnd w:id="41"/>
    <w:bookmarkEnd w:id="42"/>
    <w:bookmarkEnd w:id="43"/>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4" w:name="_Toc462564147"/>
      <w:bookmarkStart w:id="45"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4"/>
      <w:bookmarkStart w:id="46" w:name="_格式3__银行出具的资信证明"/>
      <w:bookmarkEnd w:id="46"/>
      <w:bookmarkStart w:id="47" w:name="_Hlt26955070"/>
      <w:bookmarkEnd w:id="47"/>
      <w:bookmarkStart w:id="48" w:name="_Hlt26671380"/>
      <w:bookmarkEnd w:id="48"/>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5"/>
      <w:bookmarkStart w:id="49" w:name="_Hlt26955054"/>
      <w:bookmarkEnd w:id="49"/>
      <w:r>
        <w:rPr>
          <w:rFonts w:hint="eastAsia" w:ascii="宋体" w:hAnsi="宋体" w:cs="宋体"/>
          <w:b/>
          <w:sz w:val="32"/>
          <w:szCs w:val="32"/>
        </w:rPr>
        <w:t>六、</w:t>
      </w:r>
      <w:bookmarkStart w:id="50" w:name="_格式2__法定代表人授权书"/>
      <w:bookmarkEnd w:id="50"/>
      <w:bookmarkStart w:id="51" w:name="_Toc513029276"/>
      <w:bookmarkStart w:id="52" w:name="_Toc460901585"/>
      <w:bookmarkStart w:id="53" w:name="_Toc120614283"/>
      <w:bookmarkStart w:id="54" w:name="_Toc23828478"/>
      <w:bookmarkStart w:id="55" w:name="_Toc49090577"/>
      <w:bookmarkStart w:id="56" w:name="_Toc26554095"/>
      <w:bookmarkStart w:id="57" w:name="_Toc22356580"/>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1"/>
    <w:bookmarkEnd w:id="52"/>
    <w:bookmarkEnd w:id="53"/>
    <w:bookmarkEnd w:id="54"/>
    <w:bookmarkEnd w:id="55"/>
    <w:bookmarkEnd w:id="56"/>
    <w:bookmarkEnd w:id="57"/>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8" w:name="_Hlt26955041"/>
      <w:bookmarkEnd w:id="58"/>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D71"/>
    <w:multiLevelType w:val="multilevel"/>
    <w:tmpl w:val="16381D71"/>
    <w:lvl w:ilvl="0" w:tentative="0">
      <w:start w:val="1"/>
      <w:numFmt w:val="japaneseCounting"/>
      <w:lvlText w:val="%1、"/>
      <w:lvlJc w:val="left"/>
      <w:pPr>
        <w:tabs>
          <w:tab w:val="left" w:pos="360"/>
        </w:tabs>
        <w:ind w:left="360" w:hanging="360"/>
      </w:pPr>
      <w:rPr>
        <w:rFonts w:hint="default"/>
        <w:b/>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2F1820"/>
    <w:multiLevelType w:val="multilevel"/>
    <w:tmpl w:val="312F1820"/>
    <w:lvl w:ilvl="0" w:tentative="0">
      <w:start w:val="0"/>
      <w:numFmt w:val="bullet"/>
      <w:lvlText w:val="★"/>
      <w:lvlJc w:val="left"/>
      <w:pPr>
        <w:tabs>
          <w:tab w:val="left" w:pos="360"/>
        </w:tabs>
        <w:ind w:left="360" w:hanging="360"/>
      </w:pPr>
      <w:rPr>
        <w:rFonts w:hint="eastAsia" w:ascii="宋体" w:hAnsi="宋体" w:eastAsia="宋体" w:cs="Aria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92A519D"/>
    <w:multiLevelType w:val="multilevel"/>
    <w:tmpl w:val="392A519D"/>
    <w:lvl w:ilvl="0" w:tentative="0">
      <w:start w:val="4"/>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3">
    <w:nsid w:val="503F4422"/>
    <w:multiLevelType w:val="multilevel"/>
    <w:tmpl w:val="503F4422"/>
    <w:lvl w:ilvl="0" w:tentative="0">
      <w:start w:val="3"/>
      <w:numFmt w:val="decimal"/>
      <w:lvlText w:val="%1"/>
      <w:lvlJc w:val="left"/>
      <w:pPr>
        <w:tabs>
          <w:tab w:val="left" w:pos="360"/>
        </w:tabs>
        <w:ind w:left="360" w:hanging="360"/>
      </w:pPr>
      <w:rPr>
        <w:rFonts w:hint="eastAsia"/>
      </w:rPr>
    </w:lvl>
    <w:lvl w:ilvl="1" w:tentative="0">
      <w:start w:val="2"/>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4">
    <w:nsid w:val="529C6A32"/>
    <w:multiLevelType w:val="multilevel"/>
    <w:tmpl w:val="529C6A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DDFE60"/>
    <w:multiLevelType w:val="singleLevel"/>
    <w:tmpl w:val="58DDFE60"/>
    <w:lvl w:ilvl="0" w:tentative="0">
      <w:start w:val="1"/>
      <w:numFmt w:val="chineseCounting"/>
      <w:suff w:val="nothing"/>
      <w:lvlText w:val="%1、"/>
      <w:lvlJc w:val="left"/>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417416B"/>
    <w:rsid w:val="149D4767"/>
    <w:rsid w:val="28E804FD"/>
    <w:rsid w:val="2B9E493B"/>
    <w:rsid w:val="2D8C5899"/>
    <w:rsid w:val="2F313A02"/>
    <w:rsid w:val="35467EF4"/>
    <w:rsid w:val="3DED6081"/>
    <w:rsid w:val="40A82832"/>
    <w:rsid w:val="4C940E7B"/>
    <w:rsid w:val="58C57AF2"/>
    <w:rsid w:val="650117A0"/>
    <w:rsid w:val="6FF05E4C"/>
    <w:rsid w:val="75344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uiPriority w:val="0"/>
    <w:pPr>
      <w:tabs>
        <w:tab w:val="left" w:pos="360"/>
      </w:tabs>
    </w:pPr>
    <w:rPr>
      <w:sz w:val="24"/>
      <w:szCs w:val="24"/>
    </w:rPr>
  </w:style>
  <w:style w:type="paragraph" w:customStyle="1" w:styleId="18">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表段落"/>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Administrator</cp:lastModifiedBy>
  <dcterms:modified xsi:type="dcterms:W3CDTF">2020-09-04T01:44:58Z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