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bCs/>
          <w:sz w:val="32"/>
          <w:szCs w:val="32"/>
        </w:rPr>
        <w:t>全彩LED显示系统采购</w:t>
      </w:r>
      <w:r>
        <w:rPr>
          <w:rFonts w:hint="eastAsia" w:ascii="宋体" w:hAnsi="宋体" w:cs="宋体"/>
          <w:sz w:val="32"/>
          <w:szCs w:val="32"/>
        </w:rPr>
        <w:t>项目</w:t>
      </w: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ind w:firstLine="0"/>
        <w:jc w:val="center"/>
        <w:rPr>
          <w:rFonts w:ascii="宋体" w:hAnsi="宋体" w:cs="宋体"/>
          <w:b/>
          <w:bCs/>
          <w:sz w:val="84"/>
        </w:rPr>
      </w:pPr>
    </w:p>
    <w:p>
      <w:pPr>
        <w:pStyle w:val="20"/>
        <w:ind w:firstLine="0"/>
        <w:jc w:val="center"/>
        <w:rPr>
          <w:rFonts w:ascii="宋体" w:hAnsi="宋体" w:cs="宋体"/>
          <w:b/>
          <w:bCs/>
          <w:sz w:val="84"/>
        </w:rPr>
      </w:pPr>
      <w:r>
        <w:rPr>
          <w:rFonts w:hint="eastAsia" w:ascii="宋体" w:hAnsi="宋体" w:cs="宋体"/>
          <w:b/>
          <w:bCs/>
          <w:sz w:val="84"/>
        </w:rPr>
        <w:t>采 购 文 件</w:t>
      </w:r>
    </w:p>
    <w:p>
      <w:pPr>
        <w:pStyle w:val="20"/>
        <w:ind w:firstLine="0"/>
        <w:jc w:val="center"/>
        <w:rPr>
          <w:rFonts w:ascii="宋体" w:hAnsi="宋体" w:cs="宋体"/>
          <w:b/>
          <w:bCs/>
          <w:sz w:val="32"/>
        </w:rPr>
      </w:pPr>
    </w:p>
    <w:p>
      <w:pPr>
        <w:pStyle w:val="20"/>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项目编号：TDHQ2021020</w:t>
      </w:r>
    </w:p>
    <w:p>
      <w:pPr>
        <w:pStyle w:val="20"/>
        <w:ind w:firstLine="0"/>
        <w:jc w:val="center"/>
        <w:rPr>
          <w:rFonts w:ascii="宋体" w:hAnsi="宋体" w:cs="宋体"/>
          <w:b/>
          <w:sz w:val="36"/>
          <w:szCs w:val="36"/>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0"/>
        <w:spacing w:before="0" w:after="0"/>
        <w:ind w:firstLine="0"/>
        <w:jc w:val="center"/>
        <w:rPr>
          <w:rFonts w:ascii="宋体" w:hAnsi="宋体" w:cs="宋体"/>
          <w:b/>
          <w:sz w:val="30"/>
          <w:szCs w:val="30"/>
        </w:rPr>
      </w:pPr>
      <w:r>
        <w:rPr>
          <w:rFonts w:hint="eastAsia" w:ascii="宋体" w:hAnsi="宋体" w:cs="宋体"/>
          <w:b/>
          <w:sz w:val="30"/>
          <w:szCs w:val="30"/>
        </w:rPr>
        <w:t>2021年5月</w:t>
      </w: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16938516"/>
      <w:bookmarkStart w:id="2" w:name="_Toc513029200"/>
      <w:bookmarkStart w:id="3" w:name="_Toc20823272"/>
      <w:bookmarkStart w:id="4" w:name="_Toc479757206"/>
      <w:bookmarkStart w:id="5" w:name="_Toc523127445"/>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6"/>
        </w:rPr>
      </w:pPr>
      <w:r>
        <w:rPr>
          <w:rFonts w:hint="eastAsia" w:ascii="宋体" w:hAnsi="宋体" w:cs="宋体"/>
          <w:sz w:val="36"/>
        </w:rPr>
        <w:t>采购公告</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rPr>
        <w:t xml:space="preserve">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w:t>
      </w:r>
    </w:p>
    <w:p>
      <w:pPr>
        <w:numPr>
          <w:ilvl w:val="0"/>
          <w:numId w:val="1"/>
        </w:numPr>
        <w:spacing w:line="480" w:lineRule="auto"/>
        <w:outlineLvl w:val="0"/>
        <w:rPr>
          <w:rFonts w:ascii="宋体" w:hAnsi="宋体" w:cs="宋体"/>
          <w:sz w:val="36"/>
        </w:rPr>
      </w:pPr>
      <w:r>
        <w:rPr>
          <w:rFonts w:hint="eastAsia" w:ascii="宋体" w:hAnsi="宋体" w:cs="宋体"/>
          <w:sz w:val="36"/>
        </w:rPr>
        <w:t>项目需求</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hAnsi="宋体" w:cs="宋体"/>
          <w:sz w:val="36"/>
        </w:rPr>
      </w:pPr>
      <w:r>
        <w:rPr>
          <w:rFonts w:hint="eastAsia" w:ascii="宋体" w:hAnsi="宋体" w:cs="宋体"/>
          <w:sz w:val="36"/>
        </w:rPr>
        <w:t>投标文件格式</w:t>
      </w:r>
    </w:p>
    <w:p>
      <w:pPr>
        <w:pStyle w:val="4"/>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4"/>
        <w:adjustRightInd w:val="0"/>
        <w:snapToGrid w:val="0"/>
        <w:spacing w:before="0" w:after="0" w:line="36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3"/>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全彩LED显示系统采购</w:t>
      </w:r>
      <w:r>
        <w:rPr>
          <w:rFonts w:hint="eastAsia"/>
          <w:sz w:val="21"/>
          <w:szCs w:val="21"/>
        </w:rPr>
        <w:t>项目进行公开采购，欢迎符合本次采购要求的企业参加投标。</w:t>
      </w:r>
    </w:p>
    <w:p>
      <w:pPr>
        <w:pStyle w:val="13"/>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全彩LED显示系统采购</w:t>
      </w:r>
      <w:r>
        <w:rPr>
          <w:rFonts w:hint="eastAsia"/>
          <w:sz w:val="21"/>
          <w:szCs w:val="21"/>
        </w:rPr>
        <w:t>项目，（项目编号TDHQ2021020），预算为14.8万。</w:t>
      </w:r>
    </w:p>
    <w:p>
      <w:pPr>
        <w:pStyle w:val="13"/>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bCs/>
          <w:sz w:val="21"/>
          <w:szCs w:val="21"/>
        </w:rPr>
        <w:t>全彩LED显示系统1套</w:t>
      </w:r>
      <w:r>
        <w:rPr>
          <w:rFonts w:hint="eastAsia"/>
          <w:sz w:val="21"/>
          <w:szCs w:val="21"/>
        </w:rPr>
        <w:t>（具体要求参见采购文件）。2.项目地点：扬州市润扬南路33号。3.技术条款咨询联系人：丁老师 ，联系电话：0514-89716024。（注：如不咨询，视为已理解该技术指标）。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pPr>
        <w:pStyle w:val="13"/>
        <w:shd w:val="clear" w:color="auto" w:fill="FFFFFF"/>
        <w:spacing w:before="0" w:beforeAutospacing="0" w:after="0" w:afterAutospacing="0" w:line="400" w:lineRule="exact"/>
        <w:ind w:firstLine="420" w:firstLineChars="200"/>
        <w:rPr>
          <w:sz w:val="21"/>
          <w:szCs w:val="21"/>
        </w:rPr>
      </w:pPr>
      <w:r>
        <w:rPr>
          <w:rFonts w:hint="eastAsia"/>
          <w:sz w:val="21"/>
          <w:szCs w:val="21"/>
        </w:rPr>
        <w:t>1.投标人必须是经国家有关部门批准，具有合法经营资质、符合《中华人民共和国政府采购法》第二十二条规定的独立法人；</w:t>
      </w:r>
    </w:p>
    <w:p>
      <w:pPr>
        <w:pStyle w:val="13"/>
        <w:spacing w:before="0" w:beforeAutospacing="0" w:after="0" w:afterAutospacing="0" w:line="400" w:lineRule="exact"/>
        <w:ind w:firstLine="420" w:firstLineChars="200"/>
        <w:rPr>
          <w:sz w:val="21"/>
          <w:szCs w:val="21"/>
        </w:rPr>
      </w:pPr>
      <w:r>
        <w:rPr>
          <w:rFonts w:hint="eastAsia"/>
          <w:sz w:val="21"/>
          <w:szCs w:val="21"/>
        </w:rPr>
        <w:t>2.投标人具备履行合同所必需的设备和专业技术能力的证明材料；</w:t>
      </w:r>
    </w:p>
    <w:p>
      <w:pPr>
        <w:pStyle w:val="13"/>
        <w:spacing w:before="0" w:beforeAutospacing="0" w:after="0" w:afterAutospacing="0" w:line="400" w:lineRule="exact"/>
        <w:ind w:firstLine="420" w:firstLineChars="200"/>
        <w:rPr>
          <w:sz w:val="21"/>
          <w:szCs w:val="21"/>
        </w:rPr>
      </w:pPr>
      <w:r>
        <w:rPr>
          <w:rFonts w:hint="eastAsia"/>
          <w:sz w:val="21"/>
          <w:szCs w:val="21"/>
        </w:rPr>
        <w:t>3.投标人在经营活动中没有违法违规记录，近三年内没有被司法部门或行业主管部门处罚，提供书面声明；</w:t>
      </w:r>
    </w:p>
    <w:p>
      <w:pPr>
        <w:pStyle w:val="13"/>
        <w:shd w:val="clear" w:color="auto" w:fill="FFFFFF"/>
        <w:spacing w:before="0" w:beforeAutospacing="0" w:after="0" w:afterAutospacing="0" w:line="400" w:lineRule="exact"/>
        <w:ind w:firstLine="420" w:firstLineChars="200"/>
        <w:rPr>
          <w:rFonts w:hint="eastAsia"/>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pPr>
        <w:pStyle w:val="13"/>
        <w:spacing w:before="0" w:beforeAutospacing="0" w:after="0" w:afterAutospacing="0" w:line="400" w:lineRule="exact"/>
        <w:ind w:firstLine="413" w:firstLineChars="196"/>
        <w:rPr>
          <w:sz w:val="21"/>
          <w:szCs w:val="21"/>
        </w:rPr>
      </w:pPr>
      <w:r>
        <w:rPr>
          <w:rFonts w:hint="eastAsia"/>
          <w:b/>
          <w:sz w:val="21"/>
          <w:szCs w:val="21"/>
        </w:rPr>
        <w:t>5.本项目集中勘察现场安排：2021年5月31日上午10:00，南京邮电大学通达学院行政楼911（扬州市邗江区润扬南路33号），联系人：季老师（电话0514-89716083）。本项目只接受参加勘察现场的投标人投标，投标人须以招标人出具的“现场勘察确认表”回执为依据，并在投标文件中加以体现。（投标文件正本中须有此表原件）。</w:t>
      </w:r>
    </w:p>
    <w:p>
      <w:pPr>
        <w:pStyle w:val="13"/>
        <w:shd w:val="clear" w:color="auto" w:fill="FFFFFF"/>
        <w:spacing w:before="0" w:beforeAutospacing="0" w:after="0" w:afterAutospacing="0" w:line="400" w:lineRule="exact"/>
        <w:ind w:firstLine="420" w:firstLineChars="200"/>
        <w:rPr>
          <w:sz w:val="21"/>
          <w:szCs w:val="21"/>
        </w:rPr>
      </w:pPr>
      <w:r>
        <w:rPr>
          <w:rFonts w:hint="eastAsia"/>
          <w:sz w:val="21"/>
          <w:szCs w:val="21"/>
        </w:rPr>
        <w:t>6.本项目不接受联合体投标。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五、投标文件接收信息:投标文件接收截止时间：2021年6月3日 上午 11:00。地点：南京邮电大学通达学院行政中心9楼911办公室。 联系人：季老师， 联系电话：0514-89716083。 采购单位不接受邮寄、快递等投标，投标文件在投标截止时间后，一律不予退回。</w:t>
      </w:r>
    </w:p>
    <w:p>
      <w:pPr>
        <w:pStyle w:val="13"/>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:时间：2021年6月3日 上午 11:00,地点：行政楼9楼开标室。</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pPr>
        <w:pStyle w:val="13"/>
        <w:shd w:val="clear" w:color="auto" w:fill="FFFFFF"/>
        <w:spacing w:before="0" w:beforeAutospacing="0" w:after="0" w:afterAutospacing="0" w:line="400" w:lineRule="exact"/>
        <w:ind w:firstLine="420"/>
        <w:rPr>
          <w:sz w:val="21"/>
          <w:szCs w:val="21"/>
        </w:rPr>
      </w:pPr>
      <w:r>
        <w:rPr>
          <w:rFonts w:hint="eastAsia"/>
          <w:sz w:val="21"/>
          <w:szCs w:val="21"/>
        </w:rPr>
        <w:t>八、本次招标联系事项: 联系人：季老师， 联系电话：0514-89716083。</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二〇二一年五月二十八日</w:t>
      </w:r>
    </w:p>
    <w:p>
      <w:pPr>
        <w:pStyle w:val="5"/>
        <w:ind w:firstLine="0"/>
        <w:rPr>
          <w:rFonts w:ascii="宋体" w:hAnsi="宋体" w:cs="宋体"/>
        </w:rPr>
      </w:pPr>
    </w:p>
    <w:p>
      <w:pPr>
        <w:pStyle w:val="4"/>
        <w:spacing w:line="240" w:lineRule="auto"/>
        <w:rPr>
          <w:rFonts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513029202"/>
      <w:bookmarkStart w:id="9" w:name="_Toc120614213"/>
      <w:bookmarkStart w:id="10" w:name="_Toc20823274"/>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ascii="宋体" w:hAnsi="宋体" w:cs="宋体"/>
          <w:b/>
          <w:sz w:val="24"/>
          <w:szCs w:val="24"/>
        </w:rPr>
      </w:pPr>
      <w:bookmarkStart w:id="12" w:name="_Toc120614214"/>
      <w:bookmarkStart w:id="13" w:name="_Toc20823275"/>
      <w:bookmarkStart w:id="14" w:name="_Toc16938519"/>
      <w:bookmarkStart w:id="15"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1.1本次采购采用公开采购方式，本采购文件仅适用于采购公告中所述项目。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请仔细检查采购文件是否齐全，如有缺漏请立即与采购采购管理办公室联系解决。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贰仟元（2000元）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18.1投标人在递交投标书后，在规定的投标截止日期前可以修改或撤回其投标文件。修改文件必须在投标截止时间前送达采购采购管理办公室。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23.1评标工作组首先对所有合格投标人按评标办法进行打分，根据综合得分，由高到低排列，向采购小组推荐中标候选人。最终由采购小组根据推荐的中标候选人确定中标人。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23.3本项目收取中标人中标服务费人民币贰</w:t>
      </w:r>
      <w:r>
        <w:rPr>
          <w:rFonts w:hint="eastAsia" w:ascii="宋体" w:hAnsi="宋体" w:cs="宋体"/>
          <w:sz w:val="24"/>
          <w:szCs w:val="24"/>
          <w:u w:val="single"/>
        </w:rPr>
        <w:t>仟元（2000元）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采购采购管理办公室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（3）向评审专家、采购人或采购采购管理办公室工作人员行贿或者提供其它不正当利益的；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在此情况下一经认定，报经项目采购监督小组批准，采购采购管理办公室有权重新组织采购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6938558"/>
      <w:bookmarkStart w:id="17" w:name="_Toc120614221"/>
      <w:bookmarkStart w:id="18" w:name="_Toc513029242"/>
      <w:bookmarkStart w:id="19" w:name="_Toc479757207"/>
      <w:bookmarkStart w:id="20" w:name="_Toc20823314"/>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甲乙双方根据全彩LED显示系统采购项目采购（谈判、询价）采购结果,依据《中华人民共和国合同法》及相关法律规定，达成如下货物购销合同: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noWrap/>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pacing w:line="240" w:lineRule="atLeast"/>
              <w:jc w:val="center"/>
              <w:rPr>
                <w:rFonts w:ascii="宋体" w:hAnsi="宋体" w:cs="宋体"/>
                <w:b/>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atLeast"/>
        <w:rPr>
          <w:rFonts w:ascii="宋体" w:hAnsi="宋体" w:cs="宋体"/>
          <w:sz w:val="24"/>
          <w:szCs w:val="24"/>
          <w:highlight w:val="yellow"/>
        </w:rPr>
      </w:pPr>
      <w:r>
        <w:rPr>
          <w:rFonts w:hint="eastAsia" w:ascii="宋体" w:hAnsi="宋体" w:cs="宋体"/>
          <w:sz w:val="24"/>
          <w:szCs w:val="24"/>
        </w:rPr>
        <w:t>四、</w:t>
      </w:r>
      <w:r>
        <w:rPr>
          <w:rFonts w:hint="eastAsia" w:ascii="宋体" w:hAnsi="宋体" w:cs="宋体"/>
          <w:sz w:val="24"/>
          <w:szCs w:val="24"/>
          <w:highlight w:val="yellow"/>
        </w:rPr>
        <w:t>付款方式：</w:t>
      </w:r>
      <w:r>
        <w:rPr>
          <w:rFonts w:hint="eastAsia" w:ascii="宋体" w:hAnsi="宋体" w:cs="宋体"/>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ascii="宋体" w:hAnsi="宋体" w:cs="宋体"/>
        </w:rPr>
      </w:pPr>
      <w:bookmarkStart w:id="24" w:name="_Hlt16619369"/>
      <w:bookmarkEnd w:id="24"/>
      <w:bookmarkStart w:id="25" w:name="_Toc20823346"/>
      <w:bookmarkStart w:id="26" w:name="_Toc120614244"/>
      <w:bookmarkStart w:id="27" w:name="_Toc16938590"/>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jc w:val="center"/>
        <w:rPr>
          <w:b/>
          <w:sz w:val="36"/>
          <w:szCs w:val="36"/>
        </w:rPr>
      </w:pPr>
      <w:r>
        <w:rPr>
          <w:rFonts w:hint="eastAsia" w:ascii="宋体" w:hAnsi="宋体" w:cs="宋体"/>
          <w:bCs/>
          <w:sz w:val="44"/>
        </w:rPr>
        <w:t>第四章</w:t>
      </w:r>
      <w:bookmarkStart w:id="31" w:name="_Toc194757239"/>
      <w:bookmarkStart w:id="32" w:name="_Toc194758350"/>
      <w:bookmarkStart w:id="33" w:name="_Toc403722970"/>
      <w:r>
        <w:rPr>
          <w:rFonts w:hint="eastAsia" w:ascii="宋体" w:hAnsi="宋体" w:cs="宋体"/>
          <w:bCs/>
          <w:sz w:val="44"/>
        </w:rPr>
        <w:t xml:space="preserve">  项目需求</w:t>
      </w:r>
    </w:p>
    <w:bookmarkEnd w:id="31"/>
    <w:bookmarkEnd w:id="32"/>
    <w:bookmarkEnd w:id="33"/>
    <w:p>
      <w:pPr>
        <w:pStyle w:val="27"/>
        <w:numPr>
          <w:ilvl w:val="0"/>
          <w:numId w:val="3"/>
        </w:numPr>
        <w:spacing w:line="460" w:lineRule="exact"/>
        <w:ind w:firstLineChars="0"/>
        <w:rPr>
          <w:rFonts w:ascii="宋体" w:hAnsi="宋体"/>
          <w:b/>
          <w:sz w:val="24"/>
          <w:szCs w:val="24"/>
        </w:rPr>
      </w:pPr>
      <w:r>
        <w:rPr>
          <w:rFonts w:ascii="宋体" w:hAnsi="宋体"/>
          <w:b/>
          <w:sz w:val="24"/>
          <w:szCs w:val="24"/>
        </w:rPr>
        <w:t>项目</w:t>
      </w:r>
      <w:r>
        <w:rPr>
          <w:rFonts w:hint="eastAsia" w:ascii="宋体" w:hAnsi="宋体"/>
          <w:b/>
          <w:sz w:val="24"/>
          <w:szCs w:val="24"/>
        </w:rPr>
        <w:t>简介</w:t>
      </w:r>
      <w:r>
        <w:rPr>
          <w:rFonts w:ascii="宋体" w:hAnsi="宋体"/>
          <w:b/>
          <w:sz w:val="24"/>
          <w:szCs w:val="24"/>
        </w:rPr>
        <w:t>：</w:t>
      </w:r>
    </w:p>
    <w:p>
      <w:pPr>
        <w:pStyle w:val="27"/>
        <w:spacing w:line="440" w:lineRule="exact"/>
        <w:ind w:left="120" w:leftChars="57" w:firstLine="480"/>
        <w:rPr>
          <w:rFonts w:ascii="宋体" w:hAnsi="宋体"/>
          <w:sz w:val="24"/>
          <w:szCs w:val="24"/>
        </w:rPr>
      </w:pPr>
      <w:r>
        <w:rPr>
          <w:rFonts w:hint="eastAsia" w:ascii="宋体" w:hAnsi="宋体"/>
          <w:sz w:val="24"/>
          <w:szCs w:val="24"/>
        </w:rPr>
        <w:t>本项目为南京邮电大学通达学院全彩LED显示系统采购及相关服务项目</w:t>
      </w:r>
      <w:r>
        <w:rPr>
          <w:rFonts w:ascii="宋体" w:hAnsi="宋体"/>
          <w:sz w:val="24"/>
          <w:szCs w:val="24"/>
        </w:rPr>
        <w:t>。</w:t>
      </w:r>
      <w:r>
        <w:rPr>
          <w:rFonts w:hint="eastAsia" w:ascii="宋体" w:hAnsi="宋体"/>
          <w:sz w:val="24"/>
          <w:szCs w:val="24"/>
        </w:rPr>
        <w:t>项目整体涉及设备产品的安装、调试，即从项目所需产品供货开始，到整体设备产品的安装调试、试运行及后期的技术培训、售后维护服务等。本项目包含对原有LED屏的拆除及搬运至指定地点。</w:t>
      </w:r>
    </w:p>
    <w:p>
      <w:pPr>
        <w:pStyle w:val="7"/>
        <w:spacing w:line="440" w:lineRule="exact"/>
        <w:rPr>
          <w:rFonts w:hAnsi="宋体"/>
          <w:sz w:val="24"/>
          <w:szCs w:val="24"/>
        </w:rPr>
      </w:pPr>
      <w:r>
        <w:rPr>
          <w:rFonts w:hint="eastAsia" w:hAnsi="宋体"/>
          <w:sz w:val="24"/>
          <w:szCs w:val="24"/>
        </w:rPr>
        <w:t>1.安装位置：南京邮电大学通达学院行政楼一楼。</w:t>
      </w:r>
    </w:p>
    <w:p>
      <w:pPr>
        <w:pStyle w:val="7"/>
        <w:spacing w:line="440" w:lineRule="exact"/>
        <w:rPr>
          <w:rFonts w:hAnsi="宋体"/>
          <w:sz w:val="24"/>
          <w:szCs w:val="24"/>
        </w:rPr>
      </w:pPr>
      <w:r>
        <w:rPr>
          <w:rFonts w:hint="eastAsia" w:hAnsi="宋体"/>
          <w:sz w:val="24"/>
          <w:szCs w:val="24"/>
        </w:rPr>
        <w:t>2.规格：</w:t>
      </w:r>
      <w:r>
        <w:rPr>
          <w:rFonts w:hAnsi="宋体"/>
          <w:sz w:val="24"/>
          <w:szCs w:val="24"/>
        </w:rPr>
        <w:t>室内P1.86全彩屏，点间距≤1.86mm。显示净尺寸：</w:t>
      </w:r>
      <w:r>
        <w:rPr>
          <w:rFonts w:hint="eastAsia" w:hAnsi="宋体"/>
          <w:sz w:val="24"/>
          <w:szCs w:val="24"/>
        </w:rPr>
        <w:t>长</w:t>
      </w:r>
      <w:r>
        <w:rPr>
          <w:rFonts w:hAnsi="宋体"/>
          <w:sz w:val="24"/>
          <w:szCs w:val="24"/>
        </w:rPr>
        <w:t>5.12m×</w:t>
      </w:r>
      <w:r>
        <w:rPr>
          <w:rFonts w:hint="eastAsia" w:hAnsi="宋体"/>
          <w:sz w:val="24"/>
          <w:szCs w:val="24"/>
        </w:rPr>
        <w:t>高</w:t>
      </w:r>
      <w:r>
        <w:rPr>
          <w:rFonts w:hAnsi="宋体"/>
          <w:sz w:val="24"/>
          <w:szCs w:val="24"/>
        </w:rPr>
        <w:t>1.92m=9.83 m2。</w:t>
      </w:r>
    </w:p>
    <w:p>
      <w:pPr>
        <w:spacing w:afterLines="50" w:line="460" w:lineRule="exact"/>
        <w:rPr>
          <w:rFonts w:ascii="宋体" w:hAnsi="宋体"/>
          <w:b/>
          <w:sz w:val="24"/>
          <w:szCs w:val="24"/>
        </w:rPr>
      </w:pPr>
      <w:r>
        <w:rPr>
          <w:rFonts w:hint="eastAsia" w:ascii="宋体" w:hAnsi="宋体"/>
          <w:b/>
          <w:sz w:val="24"/>
          <w:szCs w:val="24"/>
        </w:rPr>
        <w:t>二、主要技术参数：</w:t>
      </w:r>
    </w:p>
    <w:tbl>
      <w:tblPr>
        <w:tblStyle w:val="17"/>
        <w:tblW w:w="93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16"/>
        <w:gridCol w:w="577"/>
        <w:gridCol w:w="6675"/>
        <w:gridCol w:w="709"/>
        <w:gridCol w:w="9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jc w:val="center"/>
        </w:trPr>
        <w:tc>
          <w:tcPr>
            <w:tcW w:w="993" w:type="dxa"/>
            <w:gridSpan w:val="2"/>
            <w:vAlign w:val="center"/>
          </w:tcPr>
          <w:p>
            <w:pPr>
              <w:spacing w:line="380" w:lineRule="exact"/>
              <w:jc w:val="center"/>
              <w:rPr>
                <w:rFonts w:ascii="宋体" w:hAnsi="宋体"/>
                <w:sz w:val="24"/>
                <w:szCs w:val="24"/>
              </w:rPr>
            </w:pPr>
            <w:r>
              <w:rPr>
                <w:rFonts w:hint="eastAsia" w:ascii="宋体" w:hAnsi="宋体"/>
                <w:sz w:val="24"/>
                <w:szCs w:val="24"/>
              </w:rPr>
              <w:t>项目</w:t>
            </w:r>
          </w:p>
        </w:tc>
        <w:tc>
          <w:tcPr>
            <w:tcW w:w="6675" w:type="dxa"/>
            <w:vAlign w:val="center"/>
          </w:tcPr>
          <w:p>
            <w:pPr>
              <w:spacing w:line="380" w:lineRule="exact"/>
              <w:jc w:val="center"/>
              <w:rPr>
                <w:rFonts w:ascii="宋体" w:hAnsi="宋体"/>
                <w:sz w:val="24"/>
                <w:szCs w:val="24"/>
              </w:rPr>
            </w:pPr>
            <w:r>
              <w:rPr>
                <w:rFonts w:hint="eastAsia" w:ascii="宋体" w:hAnsi="宋体"/>
                <w:sz w:val="24"/>
                <w:szCs w:val="24"/>
              </w:rPr>
              <w:t>参数</w:t>
            </w:r>
          </w:p>
        </w:tc>
        <w:tc>
          <w:tcPr>
            <w:tcW w:w="709" w:type="dxa"/>
            <w:vAlign w:val="center"/>
          </w:tcPr>
          <w:p>
            <w:pPr>
              <w:spacing w:line="380" w:lineRule="exact"/>
              <w:jc w:val="center"/>
              <w:rPr>
                <w:rFonts w:ascii="宋体" w:hAnsi="宋体"/>
                <w:sz w:val="24"/>
                <w:szCs w:val="24"/>
              </w:rPr>
            </w:pPr>
            <w:r>
              <w:rPr>
                <w:rFonts w:hint="eastAsia" w:ascii="宋体" w:hAnsi="宋体"/>
                <w:sz w:val="24"/>
                <w:szCs w:val="24"/>
              </w:rPr>
              <w:t>单位</w:t>
            </w:r>
          </w:p>
        </w:tc>
        <w:tc>
          <w:tcPr>
            <w:tcW w:w="966" w:type="dxa"/>
            <w:vAlign w:val="center"/>
          </w:tcPr>
          <w:p>
            <w:pPr>
              <w:spacing w:line="380" w:lineRule="exact"/>
              <w:jc w:val="center"/>
              <w:rPr>
                <w:rFonts w:ascii="宋体" w:hAnsi="宋体"/>
                <w:sz w:val="24"/>
                <w:szCs w:val="24"/>
              </w:rPr>
            </w:pPr>
            <w:r>
              <w:rPr>
                <w:rFonts w:hint="eastAsia" w:ascii="宋体" w:hAnsi="宋体"/>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jc w:val="center"/>
        </w:trPr>
        <w:tc>
          <w:tcPr>
            <w:tcW w:w="416" w:type="dxa"/>
            <w:vMerge w:val="restart"/>
            <w:vAlign w:val="center"/>
          </w:tcPr>
          <w:p>
            <w:pPr>
              <w:spacing w:line="380" w:lineRule="exact"/>
              <w:jc w:val="center"/>
              <w:rPr>
                <w:rFonts w:ascii="宋体" w:hAnsi="宋体"/>
                <w:sz w:val="24"/>
                <w:szCs w:val="24"/>
              </w:rPr>
            </w:pPr>
            <w:r>
              <w:rPr>
                <w:rFonts w:hint="eastAsia" w:ascii="宋体" w:hAnsi="宋体"/>
                <w:sz w:val="24"/>
                <w:szCs w:val="24"/>
              </w:rPr>
              <w:t>显示设备</w:t>
            </w:r>
          </w:p>
        </w:tc>
        <w:tc>
          <w:tcPr>
            <w:tcW w:w="577" w:type="dxa"/>
            <w:vAlign w:val="center"/>
          </w:tcPr>
          <w:p>
            <w:pPr>
              <w:spacing w:line="380" w:lineRule="exact"/>
              <w:jc w:val="center"/>
              <w:rPr>
                <w:rFonts w:ascii="宋体" w:hAnsi="宋体"/>
                <w:sz w:val="24"/>
                <w:szCs w:val="24"/>
              </w:rPr>
            </w:pPr>
            <w:r>
              <w:rPr>
                <w:rFonts w:hint="eastAsia" w:ascii="宋体" w:hAnsi="宋体"/>
                <w:sz w:val="24"/>
                <w:szCs w:val="24"/>
              </w:rPr>
              <w:t>小间距LED</w:t>
            </w:r>
          </w:p>
        </w:tc>
        <w:tc>
          <w:tcPr>
            <w:tcW w:w="6675" w:type="dxa"/>
          </w:tcPr>
          <w:p>
            <w:pPr>
              <w:pStyle w:val="27"/>
              <w:spacing w:line="380" w:lineRule="exact"/>
              <w:ind w:firstLine="0" w:firstLineChars="0"/>
              <w:jc w:val="left"/>
              <w:rPr>
                <w:rFonts w:ascii="宋体" w:hAnsi="宋体"/>
                <w:sz w:val="24"/>
                <w:szCs w:val="24"/>
              </w:rPr>
            </w:pPr>
            <w:r>
              <w:rPr>
                <w:rFonts w:hint="eastAsia" w:ascii="宋体" w:hAnsi="宋体"/>
                <w:sz w:val="24"/>
                <w:szCs w:val="24"/>
              </w:rPr>
              <w:t>1.封装：SMD1515；</w:t>
            </w:r>
          </w:p>
          <w:p>
            <w:pPr>
              <w:pStyle w:val="27"/>
              <w:spacing w:line="380" w:lineRule="exact"/>
              <w:ind w:firstLine="0" w:firstLineChars="0"/>
              <w:jc w:val="left"/>
              <w:rPr>
                <w:rFonts w:ascii="宋体" w:hAnsi="宋体"/>
                <w:sz w:val="24"/>
                <w:szCs w:val="24"/>
              </w:rPr>
            </w:pPr>
            <w:r>
              <w:rPr>
                <w:rFonts w:hint="eastAsia" w:ascii="宋体" w:hAnsi="宋体"/>
                <w:sz w:val="24"/>
                <w:szCs w:val="24"/>
              </w:rPr>
              <w:t>2.点间距：≤1.86mm；</w:t>
            </w:r>
          </w:p>
          <w:p>
            <w:pPr>
              <w:pStyle w:val="27"/>
              <w:spacing w:line="380" w:lineRule="exact"/>
              <w:ind w:firstLine="0" w:firstLineChars="0"/>
              <w:jc w:val="left"/>
              <w:rPr>
                <w:rFonts w:ascii="宋体" w:hAnsi="宋体"/>
                <w:sz w:val="24"/>
                <w:szCs w:val="24"/>
              </w:rPr>
            </w:pPr>
            <w:r>
              <w:rPr>
                <w:rFonts w:hint="eastAsia" w:ascii="宋体" w:hAnsi="宋体"/>
                <w:sz w:val="24"/>
                <w:szCs w:val="24"/>
              </w:rPr>
              <w:t>3.★单元板大小为320mm*160mm的像素密度为≤14792点/单元；</w:t>
            </w:r>
          </w:p>
          <w:p>
            <w:pPr>
              <w:pStyle w:val="27"/>
              <w:spacing w:line="380" w:lineRule="exact"/>
              <w:ind w:firstLine="0" w:firstLineChars="0"/>
              <w:jc w:val="left"/>
              <w:rPr>
                <w:rFonts w:ascii="宋体" w:hAnsi="宋体"/>
                <w:sz w:val="24"/>
                <w:szCs w:val="24"/>
              </w:rPr>
            </w:pPr>
            <w:r>
              <w:rPr>
                <w:rFonts w:hint="eastAsia" w:ascii="宋体" w:hAnsi="宋体"/>
                <w:sz w:val="24"/>
                <w:szCs w:val="24"/>
              </w:rPr>
              <w:t>4.★单元板具有产品型号和生产厂家logo；</w:t>
            </w:r>
          </w:p>
          <w:p>
            <w:pPr>
              <w:pStyle w:val="27"/>
              <w:spacing w:line="380" w:lineRule="exact"/>
              <w:ind w:firstLine="0" w:firstLineChars="0"/>
              <w:jc w:val="left"/>
              <w:rPr>
                <w:rFonts w:ascii="宋体" w:hAnsi="宋体"/>
                <w:sz w:val="24"/>
                <w:szCs w:val="24"/>
              </w:rPr>
            </w:pPr>
            <w:r>
              <w:rPr>
                <w:rFonts w:hint="eastAsia" w:ascii="宋体" w:hAnsi="宋体"/>
                <w:sz w:val="24"/>
                <w:szCs w:val="24"/>
              </w:rPr>
              <w:t>5.PCB板材：采用玻璃化温度≥150℃的覆铜板；</w:t>
            </w:r>
          </w:p>
          <w:p>
            <w:pPr>
              <w:pStyle w:val="27"/>
              <w:spacing w:line="380" w:lineRule="exact"/>
              <w:ind w:firstLine="0" w:firstLineChars="0"/>
              <w:jc w:val="left"/>
              <w:rPr>
                <w:rFonts w:ascii="宋体" w:hAnsi="宋体"/>
                <w:sz w:val="24"/>
                <w:szCs w:val="24"/>
              </w:rPr>
            </w:pPr>
            <w:r>
              <w:rPr>
                <w:rFonts w:hint="eastAsia" w:ascii="宋体" w:hAnsi="宋体"/>
                <w:sz w:val="24"/>
                <w:szCs w:val="24"/>
              </w:rPr>
              <w:t>6.套件材质：套件采用聚碳酸酯和玻璃纤维材质；</w:t>
            </w:r>
          </w:p>
          <w:p>
            <w:pPr>
              <w:pStyle w:val="27"/>
              <w:spacing w:line="380" w:lineRule="exact"/>
              <w:ind w:firstLine="0" w:firstLineChars="0"/>
              <w:jc w:val="left"/>
              <w:rPr>
                <w:rFonts w:ascii="宋体" w:hAnsi="宋体"/>
                <w:sz w:val="24"/>
                <w:szCs w:val="24"/>
              </w:rPr>
            </w:pPr>
            <w:r>
              <w:rPr>
                <w:rFonts w:hint="eastAsia" w:ascii="宋体" w:hAnsi="宋体"/>
                <w:sz w:val="24"/>
                <w:szCs w:val="24"/>
              </w:rPr>
              <w:t>7.★最大功耗：≤500W/㎡；</w:t>
            </w:r>
          </w:p>
          <w:p>
            <w:pPr>
              <w:pStyle w:val="27"/>
              <w:spacing w:line="380" w:lineRule="exact"/>
              <w:ind w:firstLine="0" w:firstLineChars="0"/>
              <w:jc w:val="left"/>
              <w:rPr>
                <w:rFonts w:ascii="宋体" w:hAnsi="宋体"/>
                <w:sz w:val="24"/>
                <w:szCs w:val="24"/>
              </w:rPr>
            </w:pPr>
            <w:r>
              <w:rPr>
                <w:rFonts w:hint="eastAsia" w:ascii="宋体" w:hAnsi="宋体"/>
                <w:sz w:val="24"/>
                <w:szCs w:val="24"/>
              </w:rPr>
              <w:t>8.★平均功耗：≤180W/㎡；</w:t>
            </w:r>
          </w:p>
          <w:p>
            <w:pPr>
              <w:pStyle w:val="27"/>
              <w:spacing w:line="380" w:lineRule="exact"/>
              <w:ind w:firstLine="0" w:firstLineChars="0"/>
              <w:jc w:val="left"/>
              <w:rPr>
                <w:rFonts w:ascii="宋体" w:hAnsi="宋体"/>
                <w:sz w:val="24"/>
                <w:szCs w:val="24"/>
              </w:rPr>
            </w:pPr>
            <w:r>
              <w:rPr>
                <w:rFonts w:hint="eastAsia" w:ascii="宋体" w:hAnsi="宋体"/>
                <w:sz w:val="24"/>
                <w:szCs w:val="24"/>
              </w:rPr>
              <w:t>9.★色温：3000K-18000K可调；</w:t>
            </w:r>
          </w:p>
          <w:p>
            <w:pPr>
              <w:pStyle w:val="27"/>
              <w:spacing w:line="380" w:lineRule="exact"/>
              <w:ind w:firstLine="0" w:firstLineChars="0"/>
              <w:jc w:val="left"/>
              <w:rPr>
                <w:rFonts w:ascii="宋体" w:hAnsi="宋体"/>
                <w:sz w:val="24"/>
                <w:szCs w:val="24"/>
              </w:rPr>
            </w:pPr>
            <w:r>
              <w:rPr>
                <w:rFonts w:hint="eastAsia" w:ascii="宋体" w:hAnsi="宋体"/>
                <w:sz w:val="24"/>
                <w:szCs w:val="24"/>
              </w:rPr>
              <w:t>10.★亮度均匀性≥92%；</w:t>
            </w:r>
          </w:p>
          <w:p>
            <w:pPr>
              <w:pStyle w:val="27"/>
              <w:spacing w:line="380" w:lineRule="exact"/>
              <w:ind w:firstLine="0" w:firstLineChars="0"/>
              <w:jc w:val="left"/>
              <w:rPr>
                <w:rFonts w:ascii="宋体" w:hAnsi="宋体"/>
                <w:sz w:val="24"/>
                <w:szCs w:val="24"/>
              </w:rPr>
            </w:pPr>
            <w:r>
              <w:rPr>
                <w:rFonts w:hint="eastAsia" w:ascii="宋体" w:hAnsi="宋体"/>
                <w:sz w:val="24"/>
                <w:szCs w:val="24"/>
              </w:rPr>
              <w:t>11.★低亮高灰：亮度为20%的时候信号处理深度为14bit；12.★宽色域：数值≥115%NTSC；</w:t>
            </w:r>
          </w:p>
          <w:p>
            <w:pPr>
              <w:pStyle w:val="27"/>
              <w:spacing w:line="380" w:lineRule="exact"/>
              <w:ind w:firstLine="0" w:firstLineChars="0"/>
              <w:jc w:val="left"/>
              <w:rPr>
                <w:rFonts w:ascii="宋体" w:hAnsi="宋体"/>
                <w:sz w:val="24"/>
                <w:szCs w:val="24"/>
              </w:rPr>
            </w:pPr>
            <w:r>
              <w:rPr>
                <w:rFonts w:hint="eastAsia" w:ascii="宋体" w:hAnsi="宋体"/>
                <w:sz w:val="24"/>
                <w:szCs w:val="24"/>
              </w:rPr>
              <w:t>13.★反光率：≤2.5%；</w:t>
            </w:r>
          </w:p>
          <w:p>
            <w:pPr>
              <w:pStyle w:val="27"/>
              <w:spacing w:line="380" w:lineRule="exact"/>
              <w:ind w:firstLine="0" w:firstLineChars="0"/>
              <w:jc w:val="left"/>
              <w:rPr>
                <w:rFonts w:ascii="宋体" w:hAnsi="宋体"/>
                <w:sz w:val="24"/>
                <w:szCs w:val="24"/>
              </w:rPr>
            </w:pPr>
            <w:r>
              <w:rPr>
                <w:rFonts w:hint="eastAsia" w:ascii="宋体" w:hAnsi="宋体"/>
                <w:sz w:val="24"/>
                <w:szCs w:val="24"/>
              </w:rPr>
              <w:t>14.★画面延时（纳秒级）ns≤800ns；</w:t>
            </w:r>
          </w:p>
          <w:p>
            <w:pPr>
              <w:pStyle w:val="27"/>
              <w:spacing w:line="380" w:lineRule="exact"/>
              <w:ind w:firstLine="0" w:firstLineChars="0"/>
              <w:jc w:val="left"/>
              <w:rPr>
                <w:rFonts w:ascii="宋体" w:hAnsi="宋体"/>
                <w:sz w:val="24"/>
                <w:szCs w:val="24"/>
              </w:rPr>
            </w:pPr>
            <w:r>
              <w:rPr>
                <w:rFonts w:hint="eastAsia" w:ascii="宋体" w:hAnsi="宋体"/>
                <w:sz w:val="24"/>
                <w:szCs w:val="24"/>
              </w:rPr>
              <w:t>15.★工作电压：在4.2×（1±10%）VDC范围内能正常工作；</w:t>
            </w:r>
          </w:p>
          <w:p>
            <w:pPr>
              <w:pStyle w:val="27"/>
              <w:spacing w:line="380" w:lineRule="exact"/>
              <w:ind w:firstLine="0" w:firstLineChars="0"/>
              <w:jc w:val="left"/>
              <w:rPr>
                <w:rFonts w:ascii="宋体" w:hAnsi="宋体"/>
                <w:sz w:val="24"/>
                <w:szCs w:val="24"/>
              </w:rPr>
            </w:pPr>
            <w:r>
              <w:rPr>
                <w:rFonts w:hint="eastAsia" w:ascii="宋体" w:hAnsi="宋体"/>
                <w:sz w:val="24"/>
                <w:szCs w:val="24"/>
              </w:rPr>
              <w:t>16.驱动芯片功能：具有列下消隐功能、倍频刷新率提升、低灰偏色改善；</w:t>
            </w:r>
          </w:p>
          <w:p>
            <w:pPr>
              <w:pStyle w:val="27"/>
              <w:spacing w:line="380" w:lineRule="exact"/>
              <w:ind w:firstLine="0" w:firstLineChars="0"/>
              <w:jc w:val="left"/>
              <w:rPr>
                <w:rFonts w:ascii="宋体" w:hAnsi="宋体"/>
                <w:sz w:val="24"/>
                <w:szCs w:val="24"/>
              </w:rPr>
            </w:pPr>
            <w:r>
              <w:rPr>
                <w:rFonts w:hint="eastAsia" w:ascii="宋体" w:hAnsi="宋体"/>
                <w:sz w:val="24"/>
                <w:szCs w:val="24"/>
              </w:rPr>
              <w:t xml:space="preserve">17.使用寿命：≥100000小时； </w:t>
            </w:r>
          </w:p>
          <w:p>
            <w:pPr>
              <w:pStyle w:val="27"/>
              <w:spacing w:line="380" w:lineRule="exact"/>
              <w:ind w:firstLine="0" w:firstLineChars="0"/>
              <w:jc w:val="left"/>
              <w:rPr>
                <w:rFonts w:ascii="宋体" w:hAnsi="宋体"/>
                <w:sz w:val="24"/>
                <w:szCs w:val="24"/>
              </w:rPr>
            </w:pPr>
            <w:r>
              <w:rPr>
                <w:rFonts w:hint="eastAsia" w:ascii="宋体" w:hAnsi="宋体"/>
                <w:sz w:val="24"/>
                <w:szCs w:val="24"/>
              </w:rPr>
              <w:t>18.防碰撞：具备防碰撞焊盘技术；</w:t>
            </w:r>
          </w:p>
          <w:p>
            <w:pPr>
              <w:pStyle w:val="27"/>
              <w:spacing w:line="380" w:lineRule="exact"/>
              <w:ind w:firstLine="0" w:firstLineChars="0"/>
              <w:jc w:val="left"/>
              <w:rPr>
                <w:rFonts w:ascii="宋体" w:hAnsi="宋体"/>
                <w:sz w:val="24"/>
                <w:szCs w:val="24"/>
              </w:rPr>
            </w:pPr>
            <w:r>
              <w:rPr>
                <w:rFonts w:hint="eastAsia" w:ascii="宋体" w:hAnsi="宋体"/>
                <w:sz w:val="24"/>
                <w:szCs w:val="24"/>
              </w:rPr>
              <w:t>19.单元板需通过：盐雾、阻燃、振动试验、冷热冲击、光生物安全监测电磁兼容/干扰、抗紫外线UV、高低温循环、噪声、抗电强度测试；</w:t>
            </w:r>
          </w:p>
          <w:p>
            <w:pPr>
              <w:pStyle w:val="27"/>
              <w:spacing w:line="380" w:lineRule="exact"/>
              <w:ind w:firstLine="0" w:firstLineChars="0"/>
              <w:jc w:val="left"/>
              <w:rPr>
                <w:rFonts w:ascii="宋体" w:hAnsi="宋体"/>
                <w:sz w:val="24"/>
                <w:szCs w:val="24"/>
              </w:rPr>
            </w:pPr>
            <w:r>
              <w:rPr>
                <w:rFonts w:hint="eastAsia" w:ascii="宋体" w:hAnsi="宋体"/>
                <w:sz w:val="24"/>
                <w:szCs w:val="24"/>
              </w:rPr>
              <w:t>20.★LED显示屏模组需具有灯驱合一技术，提供证明文件复印件加盖公章；</w:t>
            </w:r>
          </w:p>
          <w:p>
            <w:pPr>
              <w:pStyle w:val="27"/>
              <w:spacing w:line="380" w:lineRule="exact"/>
              <w:ind w:firstLine="0" w:firstLineChars="0"/>
              <w:jc w:val="left"/>
              <w:rPr>
                <w:rFonts w:ascii="宋体" w:hAnsi="宋体"/>
                <w:sz w:val="24"/>
                <w:szCs w:val="24"/>
              </w:rPr>
            </w:pPr>
            <w:r>
              <w:rPr>
                <w:rFonts w:hint="eastAsia" w:ascii="宋体" w:hAnsi="宋体"/>
                <w:sz w:val="24"/>
                <w:szCs w:val="24"/>
              </w:rPr>
              <w:t>21.★显示屏厂家需具有自带有卡紧机构的LED显示屏底壳技术，提供证明文件复印件加盖公章；</w:t>
            </w:r>
          </w:p>
          <w:p>
            <w:pPr>
              <w:pStyle w:val="27"/>
              <w:spacing w:line="380" w:lineRule="exact"/>
              <w:ind w:firstLine="0" w:firstLineChars="0"/>
              <w:jc w:val="left"/>
              <w:rPr>
                <w:rFonts w:ascii="宋体" w:hAnsi="宋体"/>
                <w:b/>
                <w:sz w:val="24"/>
                <w:szCs w:val="24"/>
              </w:rPr>
            </w:pPr>
            <w:r>
              <w:rPr>
                <w:rFonts w:hint="eastAsia" w:ascii="宋体" w:hAnsi="宋体"/>
                <w:sz w:val="24"/>
                <w:szCs w:val="24"/>
              </w:rPr>
              <w:t>22.★显示屏厂家需具有半自动化刷三防漆装置技术，提供证明文件复印件加盖公章。</w:t>
            </w:r>
          </w:p>
        </w:tc>
        <w:tc>
          <w:tcPr>
            <w:tcW w:w="709" w:type="dxa"/>
            <w:vAlign w:val="center"/>
          </w:tcPr>
          <w:p>
            <w:pPr>
              <w:spacing w:line="380" w:lineRule="exact"/>
              <w:rPr>
                <w:rFonts w:ascii="宋体" w:hAnsi="宋体"/>
                <w:sz w:val="24"/>
                <w:szCs w:val="24"/>
              </w:rPr>
            </w:pPr>
            <w:r>
              <w:rPr>
                <w:rFonts w:hint="eastAsia" w:ascii="宋体" w:hAnsi="宋体"/>
                <w:sz w:val="24"/>
                <w:szCs w:val="24"/>
              </w:rPr>
              <w:t>平方米</w:t>
            </w:r>
          </w:p>
        </w:tc>
        <w:tc>
          <w:tcPr>
            <w:tcW w:w="966" w:type="dxa"/>
            <w:vAlign w:val="center"/>
          </w:tcPr>
          <w:p>
            <w:pPr>
              <w:spacing w:line="380" w:lineRule="exact"/>
              <w:rPr>
                <w:rFonts w:ascii="宋体" w:hAnsi="宋体"/>
                <w:sz w:val="24"/>
                <w:szCs w:val="24"/>
              </w:rPr>
            </w:pPr>
            <w:r>
              <w:rPr>
                <w:rFonts w:hint="eastAsia" w:ascii="宋体" w:hAnsi="宋体"/>
                <w:sz w:val="24"/>
                <w:szCs w:val="24"/>
              </w:rPr>
              <w:t>9.83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16" w:type="dxa"/>
            <w:vMerge w:val="continue"/>
            <w:vAlign w:val="center"/>
          </w:tcPr>
          <w:p>
            <w:pPr>
              <w:spacing w:line="380" w:lineRule="exact"/>
              <w:rPr>
                <w:rFonts w:ascii="宋体" w:hAnsi="宋体"/>
                <w:sz w:val="24"/>
                <w:szCs w:val="24"/>
              </w:rPr>
            </w:pPr>
          </w:p>
        </w:tc>
        <w:tc>
          <w:tcPr>
            <w:tcW w:w="577" w:type="dxa"/>
            <w:vAlign w:val="center"/>
          </w:tcPr>
          <w:p>
            <w:pPr>
              <w:spacing w:line="380" w:lineRule="exact"/>
              <w:rPr>
                <w:rFonts w:ascii="宋体" w:hAnsi="宋体"/>
                <w:sz w:val="24"/>
                <w:szCs w:val="24"/>
              </w:rPr>
            </w:pPr>
            <w:r>
              <w:rPr>
                <w:rFonts w:hint="eastAsia" w:ascii="宋体" w:hAnsi="宋体"/>
                <w:sz w:val="24"/>
                <w:szCs w:val="24"/>
              </w:rPr>
              <w:t>接收系统</w:t>
            </w:r>
          </w:p>
        </w:tc>
        <w:tc>
          <w:tcPr>
            <w:tcW w:w="6675" w:type="dxa"/>
          </w:tcPr>
          <w:p>
            <w:pPr>
              <w:pStyle w:val="33"/>
              <w:spacing w:line="380" w:lineRule="exact"/>
              <w:rPr>
                <w:rFonts w:ascii="宋体" w:hAnsi="宋体" w:cstheme="minorBidi"/>
              </w:rPr>
            </w:pPr>
            <w:r>
              <w:rPr>
                <w:rFonts w:hint="eastAsia" w:ascii="宋体" w:hAnsi="宋体" w:cstheme="minorBidi"/>
              </w:rPr>
              <w:t>1.单卡支持16组和32组数据输出模式；</w:t>
            </w:r>
          </w:p>
          <w:p>
            <w:pPr>
              <w:pStyle w:val="33"/>
              <w:spacing w:line="380" w:lineRule="exact"/>
              <w:rPr>
                <w:rFonts w:ascii="宋体" w:hAnsi="宋体" w:cstheme="minorBidi"/>
              </w:rPr>
            </w:pPr>
            <w:r>
              <w:rPr>
                <w:rFonts w:hint="eastAsia" w:ascii="宋体" w:hAnsi="宋体" w:cstheme="minorBidi"/>
              </w:rPr>
              <w:t>2.单卡自带16个HUB75  16P接口；</w:t>
            </w:r>
          </w:p>
          <w:p>
            <w:pPr>
              <w:pStyle w:val="33"/>
              <w:spacing w:line="380" w:lineRule="exact"/>
              <w:rPr>
                <w:rFonts w:ascii="宋体" w:hAnsi="宋体" w:cstheme="minorBidi"/>
              </w:rPr>
            </w:pPr>
            <w:r>
              <w:rPr>
                <w:rFonts w:hint="eastAsia" w:ascii="宋体" w:hAnsi="宋体" w:cstheme="minorBidi"/>
              </w:rPr>
              <w:t>3.单卡带载像素128*1024/256*512；</w:t>
            </w:r>
          </w:p>
          <w:p>
            <w:pPr>
              <w:pStyle w:val="33"/>
              <w:spacing w:line="380" w:lineRule="exact"/>
              <w:rPr>
                <w:rFonts w:ascii="宋体" w:hAnsi="宋体" w:cstheme="minorBidi"/>
              </w:rPr>
            </w:pPr>
            <w:r>
              <w:rPr>
                <w:rFonts w:hint="eastAsia" w:ascii="宋体" w:hAnsi="宋体" w:cstheme="minorBidi"/>
              </w:rPr>
              <w:t>4.支持逐点亮色度校正、多批次、亮暗线调节和显示屏效果调节等功能，与3D控制器搭配支持3D效果；</w:t>
            </w:r>
          </w:p>
          <w:p>
            <w:pPr>
              <w:pStyle w:val="33"/>
              <w:spacing w:line="380" w:lineRule="exact"/>
              <w:rPr>
                <w:rFonts w:ascii="宋体" w:hAnsi="宋体" w:cstheme="minorBidi"/>
              </w:rPr>
            </w:pPr>
            <w:r>
              <w:rPr>
                <w:rFonts w:hint="eastAsia" w:ascii="宋体" w:hAnsi="宋体" w:cstheme="minorBidi"/>
              </w:rPr>
              <w:t>5.支持接收卡预存画面和保留最后一帧设置；</w:t>
            </w:r>
          </w:p>
          <w:p>
            <w:pPr>
              <w:pStyle w:val="33"/>
              <w:spacing w:line="380" w:lineRule="exact"/>
              <w:rPr>
                <w:rFonts w:ascii="宋体" w:hAnsi="宋体" w:cstheme="minorBidi"/>
              </w:rPr>
            </w:pPr>
            <w:r>
              <w:rPr>
                <w:rFonts w:hint="eastAsia" w:ascii="宋体" w:hAnsi="宋体" w:cstheme="minorBidi"/>
              </w:rPr>
              <w:t>6.支持灯板flash管理；</w:t>
            </w:r>
          </w:p>
          <w:p>
            <w:pPr>
              <w:pStyle w:val="33"/>
              <w:spacing w:line="380" w:lineRule="exact"/>
              <w:rPr>
                <w:rFonts w:ascii="宋体" w:hAnsi="宋体" w:cstheme="minorBidi"/>
              </w:rPr>
            </w:pPr>
            <w:r>
              <w:rPr>
                <w:rFonts w:hint="eastAsia" w:ascii="宋体" w:hAnsi="宋体" w:cstheme="minorBidi"/>
              </w:rPr>
              <w:t>7.支持5pin液晶模块；</w:t>
            </w:r>
          </w:p>
          <w:p>
            <w:pPr>
              <w:pStyle w:val="33"/>
              <w:spacing w:line="380" w:lineRule="exact"/>
              <w:rPr>
                <w:rFonts w:ascii="宋体" w:hAnsi="宋体" w:cstheme="minorBidi"/>
              </w:rPr>
            </w:pPr>
            <w:r>
              <w:rPr>
                <w:rFonts w:hint="eastAsia" w:ascii="宋体" w:hAnsi="宋体" w:cstheme="minorBidi"/>
              </w:rPr>
              <w:t>8.支持千兆网，可通过网线直接连接PC端进行调试和显示；</w:t>
            </w:r>
          </w:p>
          <w:p>
            <w:pPr>
              <w:pStyle w:val="33"/>
              <w:spacing w:line="380" w:lineRule="exact"/>
              <w:rPr>
                <w:rFonts w:ascii="宋体" w:hAnsi="宋体" w:cstheme="minorBidi"/>
              </w:rPr>
            </w:pPr>
            <w:r>
              <w:rPr>
                <w:rFonts w:hint="eastAsia" w:ascii="宋体" w:hAnsi="宋体" w:cstheme="minorBidi"/>
              </w:rPr>
              <w:t>9.支持接收卡参数及程序包回读；</w:t>
            </w:r>
          </w:p>
          <w:p>
            <w:pPr>
              <w:pStyle w:val="33"/>
              <w:spacing w:line="380" w:lineRule="exact"/>
              <w:rPr>
                <w:rFonts w:ascii="宋体" w:hAnsi="宋体"/>
              </w:rPr>
            </w:pPr>
            <w:r>
              <w:rPr>
                <w:rFonts w:hint="eastAsia" w:ascii="宋体" w:hAnsi="宋体" w:cstheme="minorBidi"/>
              </w:rPr>
              <w:t>10.接收卡具有与灯板一致的电源接口。</w:t>
            </w:r>
          </w:p>
        </w:tc>
        <w:tc>
          <w:tcPr>
            <w:tcW w:w="709" w:type="dxa"/>
            <w:vAlign w:val="center"/>
          </w:tcPr>
          <w:p>
            <w:pPr>
              <w:spacing w:line="380" w:lineRule="exact"/>
              <w:rPr>
                <w:rFonts w:ascii="宋体" w:hAnsi="宋体"/>
                <w:sz w:val="24"/>
                <w:szCs w:val="24"/>
              </w:rPr>
            </w:pPr>
            <w:r>
              <w:rPr>
                <w:rFonts w:hint="eastAsia" w:ascii="宋体" w:hAnsi="宋体"/>
                <w:sz w:val="24"/>
                <w:szCs w:val="24"/>
              </w:rPr>
              <w:t>张</w:t>
            </w:r>
          </w:p>
        </w:tc>
        <w:tc>
          <w:tcPr>
            <w:tcW w:w="966" w:type="dxa"/>
            <w:vAlign w:val="center"/>
          </w:tcPr>
          <w:p>
            <w:pPr>
              <w:spacing w:line="380" w:lineRule="exact"/>
              <w:rPr>
                <w:rFonts w:ascii="宋体" w:hAnsi="宋体"/>
                <w:sz w:val="24"/>
                <w:szCs w:val="24"/>
              </w:rPr>
            </w:pPr>
            <w:r>
              <w:rPr>
                <w:rFonts w:hint="eastAsia" w:ascii="宋体" w:hAnsi="宋体"/>
                <w:sz w:val="24"/>
                <w:szCs w:val="24"/>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4" w:hRule="atLeast"/>
          <w:jc w:val="center"/>
        </w:trPr>
        <w:tc>
          <w:tcPr>
            <w:tcW w:w="416" w:type="dxa"/>
            <w:vMerge w:val="continue"/>
            <w:vAlign w:val="center"/>
          </w:tcPr>
          <w:p>
            <w:pPr>
              <w:spacing w:line="380" w:lineRule="exact"/>
              <w:rPr>
                <w:rFonts w:ascii="宋体" w:hAnsi="宋体"/>
                <w:sz w:val="24"/>
                <w:szCs w:val="24"/>
              </w:rPr>
            </w:pPr>
          </w:p>
        </w:tc>
        <w:tc>
          <w:tcPr>
            <w:tcW w:w="577" w:type="dxa"/>
            <w:vAlign w:val="center"/>
          </w:tcPr>
          <w:p>
            <w:pPr>
              <w:spacing w:line="380" w:lineRule="exact"/>
              <w:rPr>
                <w:rFonts w:ascii="宋体" w:hAnsi="宋体"/>
                <w:sz w:val="24"/>
                <w:szCs w:val="24"/>
              </w:rPr>
            </w:pPr>
            <w:r>
              <w:rPr>
                <w:rFonts w:hint="eastAsia" w:ascii="宋体" w:hAnsi="宋体"/>
                <w:sz w:val="24"/>
                <w:szCs w:val="24"/>
              </w:rPr>
              <w:t>处理系统</w:t>
            </w:r>
          </w:p>
        </w:tc>
        <w:tc>
          <w:tcPr>
            <w:tcW w:w="6675" w:type="dxa"/>
          </w:tcPr>
          <w:p>
            <w:pPr>
              <w:widowControl/>
              <w:spacing w:line="380" w:lineRule="exact"/>
              <w:jc w:val="left"/>
              <w:rPr>
                <w:rFonts w:ascii="宋体" w:hAnsi="宋体" w:cs="宋体"/>
                <w:kern w:val="0"/>
                <w:sz w:val="24"/>
                <w:szCs w:val="24"/>
              </w:rPr>
            </w:pPr>
            <w:r>
              <w:rPr>
                <w:rFonts w:hint="eastAsia" w:ascii="宋体" w:hAnsi="宋体" w:cs="宋体"/>
                <w:kern w:val="0"/>
                <w:sz w:val="24"/>
                <w:szCs w:val="24"/>
              </w:rPr>
              <w:t>1.采用纯数字FPGA架构，全硬件设计，无CPU和操作系统。输入输出均可以达到1080P；最高可支持16倍高清（7680×4320像素显示）图像显示，技术支持纯数字网线接口输入；单机集成拼接控制、信号切换等基本功能；支持漫游、叠加、缩放拉伸，HDMI信号窗口和视频信号窗口可四层叠加显示；多达30种显示预案存储功能；</w:t>
            </w:r>
          </w:p>
          <w:p>
            <w:pPr>
              <w:widowControl/>
              <w:spacing w:line="380" w:lineRule="exact"/>
              <w:jc w:val="left"/>
              <w:rPr>
                <w:rFonts w:ascii="宋体" w:hAnsi="宋体" w:cs="宋体"/>
                <w:b/>
                <w:kern w:val="0"/>
                <w:sz w:val="24"/>
                <w:szCs w:val="24"/>
              </w:rPr>
            </w:pPr>
            <w:r>
              <w:rPr>
                <w:rFonts w:hint="eastAsia" w:ascii="宋体" w:hAnsi="宋体" w:cs="宋体"/>
                <w:kern w:val="0"/>
                <w:sz w:val="24"/>
                <w:szCs w:val="24"/>
              </w:rPr>
              <w:t>2.★拼接处理器可通过客户端软件对输入的视频源进行剪裁，并输出剪裁后的视频图像；</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3.★拼接处理器可通过客户端软件对拼接后的图像叠加操作；</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4.★拼接处理器可通过客户端软件对拼接屏后的图像进行漫游操作，可将图像移到屏幕任意位置给出显示；</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5.所见即所得：大屏显示的状态及内容在客户端上实时同步显示，便于监控显示内容；</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6.支持热拔插，处理器的输入输出板卡可带电热拔插，实现不断电不影响系统正常工作的情况下维护；</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7.电源冗余，处理器的电源可作冗余，实现即使其中一个电源出现故障，系统也能正常运行，应付关键任务；</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8.★拼接处理器可通过客户端软件设置输入视频源类型为：DVI/HDMI、VGA、YPbPr、AV；</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9.★拼接处理器可通过客户端软件设置输出视频分辨率为：1920x1200、1920x1080、1680x1050、1600x1200、1600x900  1440x900、1400x1050、1366x768、1360x768、1280x1024 1280x800、1280x720、1024x768；</w:t>
            </w:r>
          </w:p>
          <w:p>
            <w:pPr>
              <w:widowControl/>
              <w:spacing w:line="380" w:lineRule="exact"/>
              <w:jc w:val="left"/>
              <w:rPr>
                <w:rFonts w:ascii="宋体" w:hAnsi="宋体" w:cs="宋体"/>
                <w:kern w:val="0"/>
                <w:sz w:val="24"/>
                <w:szCs w:val="24"/>
              </w:rPr>
            </w:pPr>
            <w:r>
              <w:rPr>
                <w:rFonts w:hint="eastAsia" w:ascii="宋体" w:hAnsi="宋体" w:cs="宋体"/>
                <w:kern w:val="0"/>
                <w:sz w:val="24"/>
                <w:szCs w:val="24"/>
              </w:rPr>
              <w:t>10.★拼接处理器可通过RJ45网口或RS232串口两种方式控制主机；</w:t>
            </w:r>
          </w:p>
          <w:p>
            <w:pPr>
              <w:widowControl/>
              <w:spacing w:line="380" w:lineRule="exact"/>
              <w:jc w:val="left"/>
              <w:rPr>
                <w:rFonts w:ascii="宋体" w:hAnsi="宋体" w:cs="宋体"/>
                <w:b/>
                <w:kern w:val="0"/>
                <w:sz w:val="24"/>
                <w:szCs w:val="24"/>
              </w:rPr>
            </w:pPr>
            <w:r>
              <w:rPr>
                <w:rFonts w:hint="eastAsia" w:ascii="宋体" w:hAnsi="宋体" w:cs="宋体"/>
                <w:kern w:val="0"/>
                <w:sz w:val="24"/>
                <w:szCs w:val="24"/>
              </w:rPr>
              <w:t>11.★拼接处理器应具备安全防范报警设备的电源插头或电源引入端与外壳裸露金属部件之间，应能承受GB16796-2009中表1规定的45Hz-64Hz交流典雅的抗电强度试验，历时1min赢屋击穿和飞弧现象；</w:t>
            </w:r>
          </w:p>
          <w:p>
            <w:pPr>
              <w:widowControl/>
              <w:spacing w:line="380" w:lineRule="exact"/>
              <w:jc w:val="left"/>
              <w:rPr>
                <w:rFonts w:ascii="宋体" w:hAnsi="宋体"/>
                <w:b/>
                <w:sz w:val="24"/>
                <w:szCs w:val="24"/>
              </w:rPr>
            </w:pPr>
            <w:r>
              <w:rPr>
                <w:rFonts w:hint="eastAsia" w:ascii="宋体" w:hAnsi="宋体" w:cs="宋体"/>
                <w:kern w:val="0"/>
                <w:sz w:val="24"/>
                <w:szCs w:val="24"/>
              </w:rPr>
              <w:t>12.★拼接处理器应具备安全防范报警设备的电源插头或电源引入端与外壳裸露金属部件之间的绝缘电阻，经相对湿热度为91%-95%，温度为40 ℃，48h的受潮预处理后，加强绝缘的设备小于5MΩ，基本绝缘的设备不小于2MΩ，Ⅲ类设备不小于1MΩ，工作电压超过500V的设备，上述绝缘电阻的阻值数应乘以一个系数,该系数等于工作电压除以500V。</w:t>
            </w:r>
          </w:p>
        </w:tc>
        <w:tc>
          <w:tcPr>
            <w:tcW w:w="709" w:type="dxa"/>
            <w:vAlign w:val="center"/>
          </w:tcPr>
          <w:p>
            <w:pPr>
              <w:spacing w:line="380" w:lineRule="exact"/>
              <w:rPr>
                <w:rFonts w:ascii="宋体" w:hAnsi="宋体"/>
                <w:sz w:val="24"/>
                <w:szCs w:val="24"/>
              </w:rPr>
            </w:pPr>
            <w:r>
              <w:rPr>
                <w:rFonts w:hint="eastAsia" w:ascii="宋体" w:hAnsi="宋体"/>
                <w:sz w:val="24"/>
                <w:szCs w:val="24"/>
              </w:rPr>
              <w:t>台</w:t>
            </w:r>
          </w:p>
        </w:tc>
        <w:tc>
          <w:tcPr>
            <w:tcW w:w="966" w:type="dxa"/>
            <w:vAlign w:val="center"/>
          </w:tcPr>
          <w:p>
            <w:pPr>
              <w:spacing w:line="380" w:lineRule="exact"/>
              <w:rPr>
                <w:rFonts w:ascii="宋体" w:hAnsi="宋体"/>
                <w:sz w:val="24"/>
                <w:szCs w:val="24"/>
              </w:rPr>
            </w:pPr>
            <w:r>
              <w:rPr>
                <w:rFonts w:hint="eastAsia" w:ascii="宋体" w:hAnsi="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16" w:type="dxa"/>
            <w:vMerge w:val="restart"/>
            <w:vAlign w:val="center"/>
          </w:tcPr>
          <w:p>
            <w:pPr>
              <w:spacing w:line="380" w:lineRule="exact"/>
              <w:rPr>
                <w:rFonts w:ascii="宋体" w:hAnsi="宋体"/>
                <w:sz w:val="24"/>
                <w:szCs w:val="24"/>
              </w:rPr>
            </w:pPr>
            <w:r>
              <w:rPr>
                <w:rFonts w:hint="eastAsia" w:ascii="宋体" w:hAnsi="宋体"/>
                <w:sz w:val="24"/>
                <w:szCs w:val="24"/>
              </w:rPr>
              <w:t>扩音系统</w:t>
            </w:r>
          </w:p>
        </w:tc>
        <w:tc>
          <w:tcPr>
            <w:tcW w:w="577" w:type="dxa"/>
            <w:vAlign w:val="center"/>
          </w:tcPr>
          <w:p>
            <w:pPr>
              <w:spacing w:line="380" w:lineRule="exact"/>
              <w:rPr>
                <w:rFonts w:ascii="宋体" w:hAnsi="宋体"/>
                <w:sz w:val="24"/>
                <w:szCs w:val="24"/>
              </w:rPr>
            </w:pPr>
            <w:r>
              <w:rPr>
                <w:rFonts w:hint="eastAsia" w:ascii="宋体" w:hAnsi="宋体"/>
                <w:sz w:val="24"/>
                <w:szCs w:val="24"/>
              </w:rPr>
              <w:t>音柱</w:t>
            </w:r>
          </w:p>
        </w:tc>
        <w:tc>
          <w:tcPr>
            <w:tcW w:w="6675" w:type="dxa"/>
          </w:tcPr>
          <w:p>
            <w:pPr>
              <w:rPr>
                <w:rFonts w:ascii="宋体" w:hAnsi="宋体" w:cs="宋体"/>
                <w:kern w:val="0"/>
                <w:sz w:val="24"/>
                <w:szCs w:val="24"/>
              </w:rPr>
            </w:pPr>
            <w:r>
              <w:rPr>
                <w:rFonts w:hint="eastAsia" w:ascii="宋体" w:hAnsi="宋体" w:cs="宋体"/>
                <w:kern w:val="0"/>
                <w:sz w:val="24"/>
                <w:szCs w:val="24"/>
              </w:rPr>
              <w:t>功率：</w:t>
            </w:r>
            <w:r>
              <w:rPr>
                <w:rFonts w:hint="eastAsia" w:ascii="宋体" w:hAnsi="宋体"/>
                <w:sz w:val="24"/>
                <w:szCs w:val="24"/>
              </w:rPr>
              <w:t>≥</w:t>
            </w:r>
            <w:r>
              <w:rPr>
                <w:rFonts w:hint="eastAsia" w:ascii="宋体" w:hAnsi="宋体" w:cs="宋体"/>
                <w:kern w:val="0"/>
                <w:sz w:val="24"/>
                <w:szCs w:val="24"/>
              </w:rPr>
              <w:t>30W；</w:t>
            </w:r>
          </w:p>
          <w:p>
            <w:pPr>
              <w:rPr>
                <w:rFonts w:ascii="宋体" w:hAnsi="宋体" w:cs="宋体"/>
                <w:kern w:val="0"/>
                <w:sz w:val="24"/>
                <w:szCs w:val="24"/>
              </w:rPr>
            </w:pPr>
            <w:r>
              <w:rPr>
                <w:rFonts w:hint="eastAsia" w:ascii="宋体" w:hAnsi="宋体" w:cs="宋体"/>
                <w:kern w:val="0"/>
                <w:sz w:val="24"/>
                <w:szCs w:val="24"/>
              </w:rPr>
              <w:t>电压：100V（120V）；</w:t>
            </w:r>
          </w:p>
          <w:p>
            <w:pPr>
              <w:rPr>
                <w:rFonts w:ascii="宋体" w:hAnsi="宋体" w:cs="宋体"/>
                <w:kern w:val="0"/>
                <w:sz w:val="24"/>
                <w:szCs w:val="24"/>
              </w:rPr>
            </w:pPr>
            <w:r>
              <w:rPr>
                <w:rFonts w:hint="eastAsia" w:ascii="宋体" w:hAnsi="宋体" w:cs="宋体"/>
                <w:kern w:val="0"/>
                <w:sz w:val="24"/>
                <w:szCs w:val="24"/>
              </w:rPr>
              <w:t>灵敏度：</w:t>
            </w:r>
            <w:r>
              <w:rPr>
                <w:rFonts w:hint="eastAsia" w:ascii="宋体" w:hAnsi="宋体"/>
                <w:sz w:val="24"/>
                <w:szCs w:val="24"/>
              </w:rPr>
              <w:t>≥</w:t>
            </w:r>
            <w:r>
              <w:rPr>
                <w:rFonts w:hint="eastAsia" w:ascii="宋体" w:hAnsi="宋体" w:cs="宋体"/>
                <w:kern w:val="0"/>
                <w:sz w:val="24"/>
                <w:szCs w:val="24"/>
              </w:rPr>
              <w:t>92db；</w:t>
            </w:r>
          </w:p>
          <w:p>
            <w:pPr>
              <w:rPr>
                <w:rFonts w:ascii="宋体" w:hAnsi="宋体" w:cs="宋体"/>
                <w:kern w:val="0"/>
                <w:sz w:val="24"/>
                <w:szCs w:val="24"/>
              </w:rPr>
            </w:pPr>
            <w:r>
              <w:rPr>
                <w:rFonts w:hint="eastAsia" w:ascii="宋体" w:hAnsi="宋体" w:cs="宋体"/>
                <w:kern w:val="0"/>
                <w:sz w:val="24"/>
                <w:szCs w:val="24"/>
              </w:rPr>
              <w:t>频响：150HZ－16KHZ；</w:t>
            </w:r>
          </w:p>
          <w:p>
            <w:pPr>
              <w:rPr>
                <w:rFonts w:ascii="宋体" w:hAnsi="宋体" w:cs="宋体"/>
                <w:kern w:val="0"/>
                <w:sz w:val="24"/>
                <w:szCs w:val="24"/>
              </w:rPr>
            </w:pPr>
            <w:r>
              <w:rPr>
                <w:rFonts w:hint="eastAsia" w:ascii="宋体" w:hAnsi="宋体" w:cs="宋体"/>
                <w:kern w:val="0"/>
                <w:sz w:val="24"/>
                <w:szCs w:val="24"/>
              </w:rPr>
              <w:t>尺寸：450*132*113MM。</w:t>
            </w:r>
          </w:p>
        </w:tc>
        <w:tc>
          <w:tcPr>
            <w:tcW w:w="709" w:type="dxa"/>
            <w:vAlign w:val="center"/>
          </w:tcPr>
          <w:p>
            <w:pPr>
              <w:spacing w:line="380" w:lineRule="exact"/>
              <w:rPr>
                <w:rFonts w:ascii="宋体" w:hAnsi="宋体"/>
                <w:sz w:val="24"/>
                <w:szCs w:val="24"/>
              </w:rPr>
            </w:pPr>
            <w:r>
              <w:rPr>
                <w:rFonts w:hint="eastAsia" w:ascii="宋体" w:hAnsi="宋体"/>
                <w:sz w:val="24"/>
                <w:szCs w:val="24"/>
              </w:rPr>
              <w:t>只</w:t>
            </w:r>
          </w:p>
        </w:tc>
        <w:tc>
          <w:tcPr>
            <w:tcW w:w="966" w:type="dxa"/>
            <w:vAlign w:val="center"/>
          </w:tcPr>
          <w:p>
            <w:pPr>
              <w:spacing w:line="380" w:lineRule="exact"/>
              <w:rPr>
                <w:rFonts w:ascii="宋体" w:hAnsi="宋体"/>
                <w:sz w:val="24"/>
                <w:szCs w:val="24"/>
              </w:rPr>
            </w:pPr>
            <w:r>
              <w:rPr>
                <w:rFonts w:hint="eastAsia" w:ascii="宋体" w:hAnsi="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16" w:type="dxa"/>
            <w:vMerge w:val="continue"/>
            <w:vAlign w:val="center"/>
          </w:tcPr>
          <w:p>
            <w:pPr>
              <w:spacing w:line="380" w:lineRule="exact"/>
              <w:rPr>
                <w:rFonts w:ascii="宋体" w:hAnsi="宋体"/>
                <w:sz w:val="24"/>
                <w:szCs w:val="24"/>
              </w:rPr>
            </w:pPr>
          </w:p>
        </w:tc>
        <w:tc>
          <w:tcPr>
            <w:tcW w:w="577" w:type="dxa"/>
            <w:vAlign w:val="center"/>
          </w:tcPr>
          <w:p>
            <w:pPr>
              <w:spacing w:line="380" w:lineRule="exact"/>
              <w:rPr>
                <w:rFonts w:ascii="宋体" w:hAnsi="宋体"/>
                <w:sz w:val="24"/>
                <w:szCs w:val="24"/>
              </w:rPr>
            </w:pPr>
            <w:r>
              <w:rPr>
                <w:rFonts w:hint="eastAsia" w:ascii="宋体" w:hAnsi="宋体"/>
                <w:sz w:val="24"/>
                <w:szCs w:val="24"/>
              </w:rPr>
              <w:t>功放</w:t>
            </w:r>
          </w:p>
        </w:tc>
        <w:tc>
          <w:tcPr>
            <w:tcW w:w="6675" w:type="dxa"/>
          </w:tcPr>
          <w:p>
            <w:pPr>
              <w:spacing w:line="380" w:lineRule="exact"/>
              <w:rPr>
                <w:rFonts w:ascii="宋体" w:hAnsi="宋体" w:cs="宋体"/>
                <w:kern w:val="0"/>
                <w:sz w:val="24"/>
                <w:szCs w:val="24"/>
              </w:rPr>
            </w:pPr>
            <w:r>
              <w:rPr>
                <w:rFonts w:hint="eastAsia" w:ascii="宋体" w:hAnsi="宋体" w:cs="宋体"/>
                <w:kern w:val="0"/>
                <w:sz w:val="24"/>
                <w:szCs w:val="24"/>
              </w:rPr>
              <w:t>两路话筒输入，两路线路输入，一路线路输出，其中一路话筒有默认优先功能，有高低音调节功能，5分区输出，本产品带有USB接口/SD卡槽/FM，支持MP3格式，自带屏显，便于紧急广播，功率输出短路保护警告、自带提示音报警，带蓝牙；</w:t>
            </w:r>
          </w:p>
          <w:p>
            <w:pPr>
              <w:spacing w:line="380" w:lineRule="exact"/>
              <w:rPr>
                <w:rFonts w:ascii="宋体" w:hAnsi="宋体" w:cs="宋体"/>
                <w:kern w:val="0"/>
                <w:sz w:val="24"/>
                <w:szCs w:val="24"/>
              </w:rPr>
            </w:pPr>
            <w:r>
              <w:rPr>
                <w:rFonts w:hint="eastAsia" w:ascii="宋体" w:hAnsi="宋体" w:cs="宋体"/>
                <w:kern w:val="0"/>
                <w:sz w:val="24"/>
                <w:szCs w:val="24"/>
              </w:rPr>
              <w:t>额定功率：</w:t>
            </w:r>
            <w:r>
              <w:rPr>
                <w:rFonts w:hint="eastAsia" w:ascii="宋体" w:hAnsi="宋体"/>
                <w:sz w:val="24"/>
                <w:szCs w:val="24"/>
              </w:rPr>
              <w:t>≥</w:t>
            </w:r>
            <w:r>
              <w:rPr>
                <w:rFonts w:hint="eastAsia" w:ascii="宋体" w:hAnsi="宋体" w:cs="宋体"/>
                <w:kern w:val="0"/>
                <w:sz w:val="24"/>
                <w:szCs w:val="24"/>
              </w:rPr>
              <w:t>120W；</w:t>
            </w:r>
          </w:p>
          <w:p>
            <w:pPr>
              <w:spacing w:line="380" w:lineRule="exact"/>
              <w:rPr>
                <w:rFonts w:ascii="宋体" w:hAnsi="宋体" w:cs="宋体"/>
                <w:kern w:val="0"/>
                <w:sz w:val="24"/>
                <w:szCs w:val="24"/>
              </w:rPr>
            </w:pPr>
            <w:r>
              <w:rPr>
                <w:rFonts w:hint="eastAsia" w:ascii="宋体" w:hAnsi="宋体" w:cs="宋体"/>
                <w:kern w:val="0"/>
                <w:sz w:val="24"/>
                <w:szCs w:val="24"/>
              </w:rPr>
              <w:t>输出形式：1.定压70V/120V；2.定阻4-16欧姆；</w:t>
            </w:r>
          </w:p>
        </w:tc>
        <w:tc>
          <w:tcPr>
            <w:tcW w:w="709" w:type="dxa"/>
            <w:vAlign w:val="center"/>
          </w:tcPr>
          <w:p>
            <w:pPr>
              <w:spacing w:line="380" w:lineRule="exact"/>
              <w:rPr>
                <w:rFonts w:ascii="宋体" w:hAnsi="宋体"/>
                <w:sz w:val="24"/>
                <w:szCs w:val="24"/>
              </w:rPr>
            </w:pPr>
            <w:r>
              <w:rPr>
                <w:rFonts w:hint="eastAsia" w:ascii="宋体" w:hAnsi="宋体"/>
                <w:sz w:val="24"/>
                <w:szCs w:val="24"/>
              </w:rPr>
              <w:t>台</w:t>
            </w:r>
          </w:p>
        </w:tc>
        <w:tc>
          <w:tcPr>
            <w:tcW w:w="966" w:type="dxa"/>
            <w:vAlign w:val="center"/>
          </w:tcPr>
          <w:p>
            <w:pPr>
              <w:spacing w:line="380" w:lineRule="exact"/>
              <w:rPr>
                <w:rFonts w:ascii="宋体" w:hAnsi="宋体"/>
                <w:sz w:val="24"/>
                <w:szCs w:val="24"/>
              </w:rPr>
            </w:pPr>
            <w:r>
              <w:rPr>
                <w:rFonts w:hint="eastAsia" w:ascii="宋体" w:hAnsi="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jc w:val="center"/>
        </w:trPr>
        <w:tc>
          <w:tcPr>
            <w:tcW w:w="416" w:type="dxa"/>
            <w:vMerge w:val="continue"/>
            <w:vAlign w:val="center"/>
          </w:tcPr>
          <w:p>
            <w:pPr>
              <w:spacing w:line="380" w:lineRule="exact"/>
              <w:rPr>
                <w:rFonts w:ascii="宋体" w:hAnsi="宋体"/>
                <w:sz w:val="24"/>
                <w:szCs w:val="24"/>
              </w:rPr>
            </w:pPr>
          </w:p>
        </w:tc>
        <w:tc>
          <w:tcPr>
            <w:tcW w:w="577" w:type="dxa"/>
            <w:vAlign w:val="center"/>
          </w:tcPr>
          <w:p>
            <w:pPr>
              <w:spacing w:line="380" w:lineRule="exact"/>
              <w:rPr>
                <w:rFonts w:ascii="宋体" w:hAnsi="宋体"/>
                <w:sz w:val="24"/>
                <w:szCs w:val="24"/>
              </w:rPr>
            </w:pPr>
            <w:r>
              <w:rPr>
                <w:rFonts w:hint="eastAsia" w:ascii="宋体" w:hAnsi="宋体"/>
                <w:sz w:val="24"/>
                <w:szCs w:val="24"/>
              </w:rPr>
              <w:t>小机柜</w:t>
            </w:r>
          </w:p>
        </w:tc>
        <w:tc>
          <w:tcPr>
            <w:tcW w:w="6675" w:type="dxa"/>
          </w:tcPr>
          <w:p>
            <w:pPr>
              <w:spacing w:line="380" w:lineRule="exact"/>
              <w:rPr>
                <w:rFonts w:ascii="宋体" w:hAnsi="宋体"/>
                <w:sz w:val="24"/>
                <w:szCs w:val="24"/>
              </w:rPr>
            </w:pPr>
          </w:p>
        </w:tc>
        <w:tc>
          <w:tcPr>
            <w:tcW w:w="709" w:type="dxa"/>
            <w:vAlign w:val="center"/>
          </w:tcPr>
          <w:p>
            <w:pPr>
              <w:spacing w:line="380" w:lineRule="exact"/>
              <w:rPr>
                <w:rFonts w:ascii="宋体" w:hAnsi="宋体"/>
                <w:sz w:val="24"/>
                <w:szCs w:val="24"/>
              </w:rPr>
            </w:pPr>
            <w:r>
              <w:rPr>
                <w:rFonts w:hint="eastAsia" w:ascii="宋体" w:hAnsi="宋体"/>
                <w:sz w:val="24"/>
                <w:szCs w:val="24"/>
              </w:rPr>
              <w:t>个</w:t>
            </w:r>
          </w:p>
        </w:tc>
        <w:tc>
          <w:tcPr>
            <w:tcW w:w="966" w:type="dxa"/>
            <w:vAlign w:val="center"/>
          </w:tcPr>
          <w:p>
            <w:pPr>
              <w:spacing w:line="380" w:lineRule="exact"/>
              <w:rPr>
                <w:rFonts w:ascii="宋体" w:hAnsi="宋体"/>
                <w:sz w:val="24"/>
                <w:szCs w:val="24"/>
              </w:rPr>
            </w:pPr>
            <w:r>
              <w:rPr>
                <w:rFonts w:hint="eastAsia" w:ascii="宋体" w:hAnsi="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jc w:val="center"/>
        </w:trPr>
        <w:tc>
          <w:tcPr>
            <w:tcW w:w="993" w:type="dxa"/>
            <w:gridSpan w:val="2"/>
            <w:vAlign w:val="center"/>
          </w:tcPr>
          <w:p>
            <w:pPr>
              <w:spacing w:line="380" w:lineRule="exact"/>
              <w:rPr>
                <w:rFonts w:ascii="宋体" w:hAnsi="宋体"/>
                <w:sz w:val="24"/>
                <w:szCs w:val="24"/>
              </w:rPr>
            </w:pPr>
            <w:r>
              <w:rPr>
                <w:rFonts w:hint="eastAsia" w:ascii="宋体" w:hAnsi="宋体"/>
                <w:sz w:val="24"/>
                <w:szCs w:val="24"/>
              </w:rPr>
              <w:t>钢结构</w:t>
            </w:r>
          </w:p>
        </w:tc>
        <w:tc>
          <w:tcPr>
            <w:tcW w:w="6675" w:type="dxa"/>
          </w:tcPr>
          <w:p>
            <w:pPr>
              <w:spacing w:line="380" w:lineRule="exact"/>
              <w:rPr>
                <w:rFonts w:ascii="宋体" w:hAnsi="宋体"/>
                <w:sz w:val="24"/>
                <w:szCs w:val="24"/>
              </w:rPr>
            </w:pPr>
            <w:r>
              <w:rPr>
                <w:rFonts w:hint="eastAsia" w:ascii="宋体" w:hAnsi="宋体"/>
                <w:sz w:val="24"/>
                <w:szCs w:val="24"/>
              </w:rPr>
              <w:t>钢结构尺寸（</w:t>
            </w:r>
            <w:r>
              <w:rPr>
                <w:rFonts w:ascii="宋体" w:hAnsi="宋体"/>
                <w:sz w:val="24"/>
                <w:szCs w:val="24"/>
              </w:rPr>
              <w:t>含包边</w:t>
            </w:r>
            <w:r>
              <w:rPr>
                <w:rFonts w:hint="eastAsia" w:ascii="宋体" w:hAnsi="宋体"/>
                <w:sz w:val="24"/>
                <w:szCs w:val="24"/>
              </w:rPr>
              <w:t>）：宽5.22</w:t>
            </w:r>
            <w:r>
              <w:rPr>
                <w:rFonts w:ascii="宋体" w:hAnsi="宋体"/>
                <w:sz w:val="24"/>
                <w:szCs w:val="24"/>
              </w:rPr>
              <w:t>米*</w:t>
            </w:r>
            <w:r>
              <w:rPr>
                <w:rFonts w:hint="eastAsia" w:ascii="宋体" w:hAnsi="宋体"/>
                <w:sz w:val="24"/>
                <w:szCs w:val="24"/>
              </w:rPr>
              <w:t>高2.02</w:t>
            </w:r>
            <w:r>
              <w:rPr>
                <w:rFonts w:ascii="宋体" w:hAnsi="宋体"/>
                <w:sz w:val="24"/>
                <w:szCs w:val="24"/>
              </w:rPr>
              <w:t>米</w:t>
            </w:r>
            <w:r>
              <w:rPr>
                <w:rFonts w:hint="eastAsia" w:ascii="宋体" w:hAnsi="宋体"/>
                <w:sz w:val="24"/>
                <w:szCs w:val="24"/>
              </w:rPr>
              <w:t>*厚0.1米。</w:t>
            </w:r>
          </w:p>
        </w:tc>
        <w:tc>
          <w:tcPr>
            <w:tcW w:w="709" w:type="dxa"/>
            <w:vAlign w:val="center"/>
          </w:tcPr>
          <w:p>
            <w:pPr>
              <w:spacing w:line="380" w:lineRule="exact"/>
              <w:rPr>
                <w:rFonts w:ascii="宋体" w:hAnsi="宋体"/>
                <w:sz w:val="24"/>
                <w:szCs w:val="24"/>
              </w:rPr>
            </w:pPr>
            <w:r>
              <w:rPr>
                <w:rFonts w:hint="eastAsia" w:ascii="宋体" w:hAnsi="宋体"/>
                <w:sz w:val="24"/>
                <w:szCs w:val="24"/>
              </w:rPr>
              <w:t>平方米</w:t>
            </w:r>
          </w:p>
        </w:tc>
        <w:tc>
          <w:tcPr>
            <w:tcW w:w="966" w:type="dxa"/>
            <w:vAlign w:val="center"/>
          </w:tcPr>
          <w:p>
            <w:pPr>
              <w:spacing w:line="380" w:lineRule="exact"/>
              <w:rPr>
                <w:rFonts w:ascii="宋体" w:hAnsi="宋体"/>
                <w:sz w:val="24"/>
                <w:szCs w:val="24"/>
              </w:rPr>
            </w:pPr>
            <w:r>
              <w:rPr>
                <w:rFonts w:hint="eastAsia" w:ascii="宋体" w:hAnsi="宋体"/>
                <w:sz w:val="24"/>
                <w:szCs w:val="24"/>
              </w:rPr>
              <w:t>10.54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jc w:val="center"/>
        </w:trPr>
        <w:tc>
          <w:tcPr>
            <w:tcW w:w="993" w:type="dxa"/>
            <w:gridSpan w:val="2"/>
            <w:vAlign w:val="center"/>
          </w:tcPr>
          <w:p>
            <w:pPr>
              <w:spacing w:line="380" w:lineRule="exact"/>
              <w:rPr>
                <w:rFonts w:ascii="宋体" w:hAnsi="宋体"/>
                <w:sz w:val="24"/>
                <w:szCs w:val="24"/>
              </w:rPr>
            </w:pPr>
            <w:r>
              <w:rPr>
                <w:rFonts w:hint="eastAsia" w:ascii="宋体" w:hAnsi="宋体"/>
                <w:sz w:val="24"/>
                <w:szCs w:val="24"/>
              </w:rPr>
              <w:t>配电系统</w:t>
            </w:r>
          </w:p>
        </w:tc>
        <w:tc>
          <w:tcPr>
            <w:tcW w:w="6675" w:type="dxa"/>
          </w:tcPr>
          <w:p>
            <w:pPr>
              <w:spacing w:line="380" w:lineRule="exact"/>
              <w:rPr>
                <w:rFonts w:ascii="宋体" w:hAnsi="宋体"/>
                <w:sz w:val="24"/>
                <w:szCs w:val="24"/>
              </w:rPr>
            </w:pPr>
            <w:r>
              <w:rPr>
                <w:rFonts w:hint="eastAsia" w:ascii="宋体" w:hAnsi="宋体"/>
                <w:sz w:val="24"/>
                <w:szCs w:val="24"/>
              </w:rPr>
              <w:t>配电系统采用三相五线制供电，配电系统保证三相平衡，尽量减少对电网的冲击影响。</w:t>
            </w:r>
            <w:r>
              <w:rPr>
                <w:rFonts w:ascii="宋体" w:hAnsi="宋体"/>
                <w:sz w:val="24"/>
                <w:szCs w:val="24"/>
              </w:rPr>
              <w:t>延时供电、手自动切换等，峰值功率</w:t>
            </w:r>
            <w:r>
              <w:rPr>
                <w:rFonts w:hint="eastAsia" w:ascii="宋体" w:hAnsi="宋体"/>
                <w:sz w:val="24"/>
                <w:szCs w:val="24"/>
              </w:rPr>
              <w:t>1</w:t>
            </w:r>
            <w:r>
              <w:rPr>
                <w:rFonts w:ascii="宋体" w:hAnsi="宋体"/>
                <w:sz w:val="24"/>
                <w:szCs w:val="24"/>
              </w:rPr>
              <w:t>0KW，内置：多路空气开关、继电器、</w:t>
            </w:r>
            <w:r>
              <w:rPr>
                <w:rFonts w:hint="eastAsia" w:ascii="宋体" w:hAnsi="宋体"/>
                <w:sz w:val="24"/>
                <w:szCs w:val="24"/>
              </w:rPr>
              <w:t>接触器、延时器、漏电保护器、浪涌保护等。支持无线终端一键开启和关闭总电源。</w:t>
            </w:r>
          </w:p>
        </w:tc>
        <w:tc>
          <w:tcPr>
            <w:tcW w:w="709" w:type="dxa"/>
            <w:vAlign w:val="center"/>
          </w:tcPr>
          <w:p>
            <w:pPr>
              <w:spacing w:line="380" w:lineRule="exact"/>
              <w:rPr>
                <w:rFonts w:ascii="宋体" w:hAnsi="宋体"/>
                <w:sz w:val="24"/>
                <w:szCs w:val="24"/>
              </w:rPr>
            </w:pPr>
            <w:r>
              <w:rPr>
                <w:rFonts w:hint="eastAsia" w:ascii="宋体" w:hAnsi="宋体"/>
                <w:sz w:val="24"/>
                <w:szCs w:val="24"/>
              </w:rPr>
              <w:t>套</w:t>
            </w:r>
          </w:p>
        </w:tc>
        <w:tc>
          <w:tcPr>
            <w:tcW w:w="966" w:type="dxa"/>
            <w:vAlign w:val="center"/>
          </w:tcPr>
          <w:p>
            <w:pPr>
              <w:spacing w:line="380" w:lineRule="exact"/>
              <w:rPr>
                <w:rFonts w:ascii="宋体" w:hAnsi="宋体"/>
                <w:sz w:val="24"/>
                <w:szCs w:val="24"/>
              </w:rPr>
            </w:pPr>
            <w:r>
              <w:rPr>
                <w:rFonts w:hint="eastAsia" w:ascii="宋体" w:hAnsi="宋体"/>
                <w:sz w:val="24"/>
                <w:szCs w:val="24"/>
              </w:rPr>
              <w:t>1</w:t>
            </w:r>
          </w:p>
        </w:tc>
      </w:tr>
    </w:tbl>
    <w:p>
      <w:pPr>
        <w:ind w:firstLine="480" w:firstLineChars="200"/>
        <w:rPr>
          <w:rFonts w:hint="eastAsia" w:ascii="宋体" w:hAnsi="宋体"/>
          <w:sz w:val="24"/>
          <w:szCs w:val="24"/>
          <w:highlight w:val="magenta"/>
        </w:rPr>
      </w:pPr>
      <w:r>
        <w:rPr>
          <w:rFonts w:hint="eastAsia" w:ascii="宋体" w:hAnsi="宋体"/>
          <w:sz w:val="24"/>
          <w:szCs w:val="24"/>
          <w:lang w:val="en-US" w:eastAsia="zh-CN"/>
        </w:rPr>
        <w:t>注：本项目为固定总价，</w:t>
      </w:r>
      <w:r>
        <w:rPr>
          <w:rFonts w:hint="eastAsia" w:ascii="宋体" w:hAnsi="宋体"/>
          <w:sz w:val="24"/>
          <w:szCs w:val="24"/>
          <w:highlight w:val="none"/>
        </w:rPr>
        <w:t>包含所有使用的线缆、电缆、辅材、人工和后期培训维护费用。</w:t>
      </w:r>
    </w:p>
    <w:p>
      <w:pPr>
        <w:rPr>
          <w:rFonts w:hAnsi="宋体"/>
          <w:b/>
          <w:sz w:val="24"/>
          <w:szCs w:val="24"/>
        </w:rPr>
      </w:pPr>
      <w:r>
        <w:rPr>
          <w:rFonts w:hint="eastAsia" w:hAnsi="宋体"/>
          <w:b/>
          <w:sz w:val="24"/>
          <w:szCs w:val="24"/>
        </w:rPr>
        <w:t>三、其他要求</w:t>
      </w:r>
    </w:p>
    <w:p>
      <w:pPr>
        <w:pStyle w:val="7"/>
        <w:spacing w:line="440" w:lineRule="exact"/>
        <w:rPr>
          <w:rFonts w:hAnsi="宋体"/>
          <w:sz w:val="24"/>
          <w:szCs w:val="24"/>
        </w:rPr>
      </w:pPr>
      <w:r>
        <w:rPr>
          <w:rFonts w:hint="eastAsia" w:hAnsi="宋体"/>
          <w:sz w:val="24"/>
          <w:szCs w:val="24"/>
        </w:rPr>
        <w:t>1.投标方在投标前需现场实地勘察，否则不予受理投标标书。</w:t>
      </w:r>
    </w:p>
    <w:p>
      <w:pPr>
        <w:pStyle w:val="7"/>
        <w:spacing w:line="440" w:lineRule="exact"/>
        <w:rPr>
          <w:rFonts w:hAnsi="宋体"/>
          <w:sz w:val="24"/>
          <w:szCs w:val="24"/>
        </w:rPr>
      </w:pPr>
      <w:r>
        <w:rPr>
          <w:rFonts w:hint="eastAsia" w:hAnsi="宋体"/>
          <w:sz w:val="24"/>
          <w:szCs w:val="24"/>
        </w:rPr>
        <w:t>2.</w:t>
      </w:r>
      <w:r>
        <w:rPr>
          <w:rFonts w:hAnsi="宋体"/>
          <w:sz w:val="24"/>
          <w:szCs w:val="24"/>
        </w:rPr>
        <w:t>投标方在投标时，需携带投标产品LED屏模块(≥0.05m2)，投标方中标后，对投标商LED显示屏进行封样</w:t>
      </w:r>
      <w:r>
        <w:rPr>
          <w:rFonts w:hint="eastAsia" w:hAnsi="宋体"/>
          <w:sz w:val="24"/>
          <w:szCs w:val="24"/>
        </w:rPr>
        <w:t>。</w:t>
      </w:r>
    </w:p>
    <w:p>
      <w:pPr>
        <w:pStyle w:val="7"/>
        <w:spacing w:line="440" w:lineRule="exact"/>
        <w:rPr>
          <w:rFonts w:hAnsi="宋体"/>
          <w:sz w:val="24"/>
          <w:szCs w:val="24"/>
        </w:rPr>
      </w:pPr>
      <w:r>
        <w:rPr>
          <w:rFonts w:hint="eastAsia" w:hAnsi="宋体"/>
          <w:sz w:val="24"/>
          <w:szCs w:val="24"/>
        </w:rPr>
        <w:t>3.</w:t>
      </w:r>
      <w:r>
        <w:rPr>
          <w:rFonts w:hAnsi="宋体"/>
          <w:sz w:val="24"/>
          <w:szCs w:val="24"/>
        </w:rPr>
        <w:t>投标方需提供国家广</w:t>
      </w:r>
      <w:r>
        <w:rPr>
          <w:rFonts w:hint="eastAsia" w:hAnsi="宋体"/>
          <w:sz w:val="24"/>
          <w:szCs w:val="24"/>
        </w:rPr>
        <w:t>电、公安部</w:t>
      </w:r>
      <w:r>
        <w:rPr>
          <w:rFonts w:hAnsi="宋体"/>
          <w:sz w:val="24"/>
          <w:szCs w:val="24"/>
        </w:rPr>
        <w:t>或</w:t>
      </w:r>
      <w:r>
        <w:rPr>
          <w:rFonts w:hint="eastAsia" w:hAnsi="宋体"/>
          <w:sz w:val="24"/>
          <w:szCs w:val="24"/>
        </w:rPr>
        <w:t>具有</w:t>
      </w:r>
      <w:r>
        <w:rPr>
          <w:rFonts w:hAnsi="宋体"/>
          <w:sz w:val="24"/>
          <w:szCs w:val="24"/>
        </w:rPr>
        <w:t>CNAS认证的第三方检测机构出具的检测报告复印件加盖公章，评审专家将对关键参数进行比对核查，确保每项参数符合招标参数。如发现提供虚假检测报告或虚假技术参数，视为废标</w:t>
      </w:r>
      <w:r>
        <w:rPr>
          <w:rFonts w:hint="eastAsia" w:hAnsi="宋体"/>
          <w:sz w:val="24"/>
          <w:szCs w:val="24"/>
        </w:rPr>
        <w:t>。</w:t>
      </w:r>
    </w:p>
    <w:p>
      <w:pPr>
        <w:pStyle w:val="7"/>
        <w:spacing w:line="440" w:lineRule="exact"/>
        <w:rPr>
          <w:rFonts w:hAnsi="宋体"/>
          <w:sz w:val="24"/>
          <w:szCs w:val="24"/>
        </w:rPr>
      </w:pPr>
      <w:r>
        <w:rPr>
          <w:rFonts w:hint="eastAsia" w:hAnsi="宋体"/>
          <w:sz w:val="24"/>
          <w:szCs w:val="24"/>
        </w:rPr>
        <w:t>4.</w:t>
      </w:r>
      <w:r>
        <w:rPr>
          <w:rFonts w:hAnsi="宋体"/>
          <w:sz w:val="24"/>
          <w:szCs w:val="24"/>
        </w:rPr>
        <w:t>大屏制造厂家必须具有CCC证书，并提供</w:t>
      </w:r>
      <w:r>
        <w:rPr>
          <w:rFonts w:hint="eastAsia" w:hAnsi="宋体"/>
          <w:sz w:val="24"/>
          <w:szCs w:val="24"/>
          <w:lang w:val="en-US" w:eastAsia="zh-CN"/>
        </w:rPr>
        <w:t>网页截图，</w:t>
      </w:r>
      <w:r>
        <w:rPr>
          <w:rFonts w:hAnsi="宋体"/>
          <w:sz w:val="24"/>
          <w:szCs w:val="24"/>
        </w:rPr>
        <w:t>认证证书复印件</w:t>
      </w:r>
      <w:r>
        <w:rPr>
          <w:rFonts w:hint="eastAsia" w:hAnsi="宋体"/>
          <w:sz w:val="24"/>
          <w:szCs w:val="24"/>
        </w:rPr>
        <w:t>，</w:t>
      </w:r>
      <w:r>
        <w:rPr>
          <w:rFonts w:hAnsi="宋体"/>
          <w:sz w:val="24"/>
          <w:szCs w:val="24"/>
        </w:rPr>
        <w:t>加盖原厂公章</w:t>
      </w:r>
      <w:r>
        <w:rPr>
          <w:rFonts w:hint="eastAsia" w:hAnsi="宋体"/>
          <w:sz w:val="24"/>
          <w:szCs w:val="24"/>
        </w:rPr>
        <w:t>。</w:t>
      </w:r>
    </w:p>
    <w:p>
      <w:pPr>
        <w:pStyle w:val="7"/>
        <w:spacing w:line="440" w:lineRule="exact"/>
        <w:rPr>
          <w:rFonts w:hAnsi="宋体"/>
          <w:sz w:val="24"/>
          <w:szCs w:val="24"/>
        </w:rPr>
      </w:pPr>
      <w:r>
        <w:rPr>
          <w:rFonts w:hint="eastAsia" w:hAnsi="宋体"/>
          <w:sz w:val="24"/>
          <w:szCs w:val="24"/>
        </w:rPr>
        <w:t>5.</w:t>
      </w:r>
      <w:r>
        <w:rPr>
          <w:rFonts w:hAnsi="宋体"/>
          <w:sz w:val="24"/>
          <w:szCs w:val="24"/>
        </w:rPr>
        <w:t>投标人的报价，应包括采购文件所确定的采购范围内所需全部设备、材料、软件的价格、随设备提供的备品备件及专用工具的价格、包装费、运杂费（运抵买方工地现场）、保险费、安装费、调试费、买方有关人员培训费、配合费、消防部门验收的相关费用及投标人认为需要的其他费用等。在安装、调试、验收过程中，如发现有漏项、缺件，卖方应无条件、无偿补齐，所发生的一切费用，视为已包含在投标人投标时的投标报价中，且并不因此而影响交付买方使用的时间</w:t>
      </w:r>
      <w:r>
        <w:rPr>
          <w:rFonts w:hint="eastAsia" w:hAnsi="宋体"/>
          <w:sz w:val="24"/>
          <w:szCs w:val="24"/>
        </w:rPr>
        <w:t>。</w:t>
      </w:r>
    </w:p>
    <w:p>
      <w:pPr>
        <w:pStyle w:val="7"/>
        <w:spacing w:line="440" w:lineRule="exact"/>
        <w:rPr>
          <w:rFonts w:hAnsi="宋体"/>
          <w:b/>
          <w:sz w:val="24"/>
          <w:szCs w:val="24"/>
        </w:rPr>
      </w:pPr>
      <w:r>
        <w:rPr>
          <w:rFonts w:hint="eastAsia" w:hAnsi="宋体"/>
          <w:b/>
          <w:sz w:val="24"/>
          <w:szCs w:val="24"/>
        </w:rPr>
        <w:t>四、商务条款</w:t>
      </w:r>
    </w:p>
    <w:p>
      <w:pPr>
        <w:pStyle w:val="7"/>
        <w:spacing w:line="440" w:lineRule="exact"/>
        <w:rPr>
          <w:rFonts w:hAnsi="宋体"/>
          <w:sz w:val="24"/>
          <w:szCs w:val="24"/>
        </w:rPr>
      </w:pPr>
      <w:r>
        <w:rPr>
          <w:rFonts w:hAnsi="宋体"/>
          <w:sz w:val="24"/>
          <w:szCs w:val="24"/>
        </w:rPr>
        <w:t>1</w:t>
      </w:r>
      <w:r>
        <w:rPr>
          <w:rFonts w:hint="eastAsia" w:hAnsi="宋体"/>
          <w:sz w:val="24"/>
          <w:szCs w:val="24"/>
        </w:rPr>
        <w:t>.</w:t>
      </w:r>
      <w:r>
        <w:rPr>
          <w:rFonts w:hAnsi="宋体"/>
          <w:sz w:val="24"/>
          <w:szCs w:val="24"/>
        </w:rPr>
        <w:t>本项目所采购设备，中标方必须承诺免费运送至</w:t>
      </w:r>
      <w:r>
        <w:rPr>
          <w:rFonts w:hint="eastAsia" w:hAnsi="宋体"/>
          <w:sz w:val="24"/>
          <w:szCs w:val="24"/>
        </w:rPr>
        <w:t>南京邮电大学</w:t>
      </w:r>
      <w:r>
        <w:rPr>
          <w:rFonts w:hAnsi="宋体"/>
          <w:sz w:val="24"/>
          <w:szCs w:val="24"/>
        </w:rPr>
        <w:t>通达学院指定</w:t>
      </w:r>
      <w:r>
        <w:rPr>
          <w:rFonts w:hint="eastAsia" w:hAnsi="宋体"/>
          <w:sz w:val="24"/>
          <w:szCs w:val="24"/>
        </w:rPr>
        <w:t>地点，</w:t>
      </w:r>
      <w:r>
        <w:rPr>
          <w:rFonts w:hAnsi="宋体"/>
          <w:sz w:val="24"/>
          <w:szCs w:val="24"/>
        </w:rPr>
        <w:t>按要求安装到位。</w:t>
      </w:r>
    </w:p>
    <w:p>
      <w:pPr>
        <w:spacing w:line="440" w:lineRule="exact"/>
        <w:rPr>
          <w:sz w:val="24"/>
        </w:rPr>
      </w:pPr>
      <w:r>
        <w:rPr>
          <w:rFonts w:ascii="宋体" w:hAnsi="宋体"/>
          <w:sz w:val="24"/>
          <w:szCs w:val="24"/>
        </w:rPr>
        <w:t>2</w:t>
      </w:r>
      <w:r>
        <w:rPr>
          <w:rFonts w:hint="eastAsia" w:ascii="宋体" w:hAnsi="宋体"/>
          <w:sz w:val="24"/>
          <w:szCs w:val="24"/>
        </w:rPr>
        <w:t>.</w:t>
      </w:r>
      <w:r>
        <w:rPr>
          <w:rFonts w:ascii="宋体" w:hAnsi="宋体"/>
          <w:sz w:val="24"/>
          <w:szCs w:val="24"/>
        </w:rPr>
        <w:t>质保期及售后服务要求:</w:t>
      </w:r>
      <w:r>
        <w:rPr>
          <w:rFonts w:hint="eastAsia"/>
          <w:sz w:val="24"/>
        </w:rPr>
        <w:t>质保期</w:t>
      </w:r>
      <w:r>
        <w:rPr>
          <w:rFonts w:hint="eastAsia" w:ascii="Calibri" w:hAnsi="Calibri"/>
          <w:kern w:val="0"/>
          <w:sz w:val="24"/>
          <w:szCs w:val="24"/>
        </w:rPr>
        <w:t>1年，</w:t>
      </w:r>
      <w:r>
        <w:rPr>
          <w:rFonts w:ascii="宋体" w:hAnsi="宋体"/>
          <w:sz w:val="24"/>
          <w:szCs w:val="24"/>
        </w:rPr>
        <w:t>质保期内</w:t>
      </w:r>
      <w:r>
        <w:rPr>
          <w:rFonts w:hint="eastAsia" w:ascii="Calibri" w:hAnsi="Calibri"/>
          <w:kern w:val="0"/>
          <w:sz w:val="24"/>
          <w:szCs w:val="24"/>
        </w:rPr>
        <w:t>全免保修</w:t>
      </w:r>
      <w:r>
        <w:rPr>
          <w:rFonts w:hint="eastAsia" w:ascii="宋体" w:hAnsi="宋体"/>
          <w:sz w:val="24"/>
          <w:szCs w:val="24"/>
        </w:rPr>
        <w:t>，</w:t>
      </w:r>
      <w:r>
        <w:rPr>
          <w:rFonts w:ascii="宋体" w:hAnsi="宋体"/>
          <w:sz w:val="24"/>
          <w:szCs w:val="24"/>
        </w:rPr>
        <w:t>需提供LED屏原厂质保承诺函</w:t>
      </w:r>
      <w:r>
        <w:rPr>
          <w:rFonts w:hint="eastAsia" w:ascii="宋体" w:hAnsi="宋体"/>
          <w:sz w:val="24"/>
          <w:szCs w:val="24"/>
        </w:rPr>
        <w:t>，</w:t>
      </w:r>
      <w:r>
        <w:rPr>
          <w:rFonts w:ascii="宋体" w:hAnsi="宋体"/>
          <w:sz w:val="24"/>
          <w:szCs w:val="24"/>
        </w:rPr>
        <w:t>并在其上加盖投标方章</w:t>
      </w:r>
      <w:r>
        <w:rPr>
          <w:rFonts w:hAnsi="宋体"/>
          <w:sz w:val="24"/>
          <w:szCs w:val="24"/>
        </w:rPr>
        <w:t>，</w:t>
      </w:r>
      <w:r>
        <w:rPr>
          <w:rFonts w:ascii="宋体" w:hAnsi="宋体"/>
          <w:sz w:val="24"/>
          <w:szCs w:val="24"/>
        </w:rPr>
        <w:t>处理故障响应时间小于24小时</w:t>
      </w:r>
      <w:r>
        <w:rPr>
          <w:rFonts w:hint="eastAsia"/>
          <w:sz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pStyle w:val="7"/>
        <w:spacing w:line="440" w:lineRule="exact"/>
        <w:rPr>
          <w:rFonts w:hAnsi="宋体"/>
          <w:sz w:val="24"/>
          <w:szCs w:val="24"/>
        </w:rPr>
      </w:pPr>
      <w:r>
        <w:rPr>
          <w:rFonts w:hAnsi="宋体"/>
          <w:sz w:val="24"/>
          <w:szCs w:val="24"/>
        </w:rPr>
        <w:t>3</w:t>
      </w:r>
      <w:r>
        <w:rPr>
          <w:rFonts w:hint="eastAsia" w:hAnsi="宋体"/>
          <w:sz w:val="24"/>
          <w:szCs w:val="24"/>
        </w:rPr>
        <w:t>.</w:t>
      </w:r>
      <w:r>
        <w:rPr>
          <w:rFonts w:hAnsi="宋体"/>
          <w:sz w:val="24"/>
          <w:szCs w:val="24"/>
        </w:rPr>
        <w:t>标书中声明承诺所投标型号LED屏为全新、原装</w:t>
      </w:r>
      <w:r>
        <w:rPr>
          <w:rFonts w:hint="eastAsia" w:hAnsi="宋体"/>
          <w:sz w:val="24"/>
          <w:szCs w:val="24"/>
        </w:rPr>
        <w:t>，</w:t>
      </w:r>
      <w:r>
        <w:rPr>
          <w:rFonts w:hAnsi="宋体"/>
          <w:sz w:val="24"/>
          <w:szCs w:val="24"/>
        </w:rPr>
        <w:t>在其上加盖投标方</w:t>
      </w:r>
      <w:r>
        <w:rPr>
          <w:rFonts w:hint="eastAsia" w:hAnsi="宋体"/>
          <w:sz w:val="24"/>
          <w:szCs w:val="24"/>
        </w:rPr>
        <w:t>公</w:t>
      </w:r>
      <w:r>
        <w:rPr>
          <w:rFonts w:hAnsi="宋体"/>
          <w:sz w:val="24"/>
          <w:szCs w:val="24"/>
        </w:rPr>
        <w:t>章。</w:t>
      </w:r>
    </w:p>
    <w:p>
      <w:pPr>
        <w:pStyle w:val="7"/>
        <w:spacing w:line="440" w:lineRule="exact"/>
        <w:rPr>
          <w:rFonts w:hAnsi="宋体"/>
          <w:sz w:val="24"/>
          <w:szCs w:val="24"/>
        </w:rPr>
      </w:pPr>
      <w:r>
        <w:rPr>
          <w:rFonts w:hint="eastAsia" w:hAnsi="宋体"/>
          <w:sz w:val="24"/>
          <w:szCs w:val="24"/>
        </w:rPr>
        <w:t>4.</w:t>
      </w:r>
      <w:r>
        <w:rPr>
          <w:rFonts w:hAnsi="宋体"/>
          <w:sz w:val="24"/>
          <w:szCs w:val="24"/>
        </w:rPr>
        <w:t>供货时限：合同签订后一个月内送至项目指定地点并完成安装调试。</w:t>
      </w:r>
    </w:p>
    <w:p>
      <w:pPr>
        <w:pStyle w:val="7"/>
        <w:spacing w:line="440" w:lineRule="exact"/>
        <w:rPr>
          <w:rFonts w:hAnsi="宋体"/>
          <w:sz w:val="24"/>
          <w:szCs w:val="24"/>
        </w:rPr>
      </w:pPr>
      <w:r>
        <w:rPr>
          <w:rFonts w:hAnsi="宋体"/>
          <w:sz w:val="24"/>
          <w:szCs w:val="24"/>
        </w:rPr>
        <w:t>5</w:t>
      </w:r>
      <w:r>
        <w:rPr>
          <w:rFonts w:hint="eastAsia" w:hAnsi="宋体"/>
          <w:sz w:val="24"/>
          <w:szCs w:val="24"/>
        </w:rPr>
        <w:t>.</w:t>
      </w:r>
      <w:r>
        <w:rPr>
          <w:rFonts w:hAnsi="宋体"/>
          <w:sz w:val="24"/>
          <w:szCs w:val="24"/>
        </w:rPr>
        <w:t>付款方式：本采购项目无预付款，安装结束，经甲乙双方共同验收，合格后，付至合同总额的9</w:t>
      </w:r>
      <w:r>
        <w:rPr>
          <w:rFonts w:hint="eastAsia" w:hAnsi="宋体"/>
          <w:sz w:val="24"/>
          <w:szCs w:val="24"/>
        </w:rPr>
        <w:t>0</w:t>
      </w:r>
      <w:r>
        <w:rPr>
          <w:rFonts w:hAnsi="宋体"/>
          <w:sz w:val="24"/>
          <w:szCs w:val="24"/>
        </w:rPr>
        <w:t>%；壹年内无质量问题，</w:t>
      </w:r>
      <w:r>
        <w:rPr>
          <w:rFonts w:hint="eastAsia" w:hAnsi="宋体"/>
          <w:sz w:val="24"/>
          <w:szCs w:val="24"/>
        </w:rPr>
        <w:t>余额</w:t>
      </w:r>
      <w:r>
        <w:rPr>
          <w:rFonts w:hAnsi="宋体"/>
          <w:sz w:val="24"/>
          <w:szCs w:val="24"/>
        </w:rPr>
        <w:t>无息结清。甲方付款前乙方需提供合法、有效、等额的增值税专用发票</w:t>
      </w:r>
      <w:r>
        <w:rPr>
          <w:rFonts w:hint="eastAsia" w:hAnsi="宋体"/>
          <w:sz w:val="24"/>
          <w:szCs w:val="24"/>
        </w:rPr>
        <w:t>，</w:t>
      </w:r>
      <w:r>
        <w:rPr>
          <w:rFonts w:hAnsi="宋体"/>
          <w:sz w:val="24"/>
          <w:szCs w:val="24"/>
        </w:rPr>
        <w:t>否则甲方有权拒付相应款项。</w:t>
      </w:r>
    </w:p>
    <w:p>
      <w:pPr>
        <w:spacing w:line="440" w:lineRule="exact"/>
        <w:rPr>
          <w:rFonts w:hAnsi="宋体"/>
          <w:b/>
          <w:sz w:val="24"/>
        </w:rPr>
      </w:pPr>
      <w:r>
        <w:rPr>
          <w:rFonts w:hint="eastAsia" w:hAnsi="宋体"/>
          <w:b/>
          <w:sz w:val="24"/>
        </w:rPr>
        <w:t>五、综合说明及其它要求：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2.凡涉及采购文件的补充说明和修改，均以南京邮电大学及南京邮电大学通达学院公示的补充通知为准。</w:t>
      </w:r>
    </w:p>
    <w:p>
      <w:pPr>
        <w:adjustRightInd w:val="0"/>
        <w:snapToGrid w:val="0"/>
        <w:spacing w:line="360" w:lineRule="exact"/>
        <w:ind w:firstLine="480" w:firstLineChars="200"/>
        <w:rPr>
          <w:rFonts w:ascii="宋体" w:hAnsi="宋体" w:cs="宋体"/>
          <w:sz w:val="24"/>
        </w:rPr>
      </w:pPr>
    </w:p>
    <w:p>
      <w:pPr>
        <w:pStyle w:val="2"/>
      </w:pPr>
    </w:p>
    <w:p/>
    <w:p>
      <w:pPr>
        <w:pStyle w:val="2"/>
      </w:pPr>
    </w:p>
    <w:p/>
    <w:p>
      <w:pPr>
        <w:pStyle w:val="2"/>
      </w:pPr>
    </w:p>
    <w:p/>
    <w:p>
      <w:pPr>
        <w:pStyle w:val="2"/>
      </w:pPr>
    </w:p>
    <w:p/>
    <w:p>
      <w:pPr>
        <w:pStyle w:val="2"/>
      </w:pPr>
    </w:p>
    <w:p/>
    <w:p>
      <w:pPr>
        <w:pStyle w:val="2"/>
      </w:pPr>
    </w:p>
    <w:p>
      <w:pPr>
        <w:adjustRightInd w:val="0"/>
        <w:snapToGrid w:val="0"/>
        <w:spacing w:line="360" w:lineRule="exact"/>
        <w:ind w:firstLine="480" w:firstLineChars="200"/>
        <w:rPr>
          <w:rFonts w:ascii="宋体" w:hAnsi="宋体" w:cs="宋体"/>
          <w:sz w:val="24"/>
        </w:rPr>
      </w:pPr>
    </w:p>
    <w:p>
      <w:pPr>
        <w:pStyle w:val="10"/>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Lines="50" w:line="440" w:lineRule="exact"/>
        <w:ind w:firstLine="480" w:firstLineChars="200"/>
        <w:rPr>
          <w:rFonts w:ascii="宋体" w:hAnsi="宋体"/>
          <w:bCs/>
          <w:snapToGrid w:val="0"/>
          <w:color w:val="000000"/>
          <w:sz w:val="24"/>
          <w:szCs w:val="24"/>
        </w:rPr>
      </w:pPr>
      <w:bookmarkStart w:id="34" w:name="_Toc49090575"/>
      <w:bookmarkStart w:id="35" w:name="_Toc120614281"/>
      <w:bookmarkStart w:id="36" w:name="_Toc26554093"/>
      <w:r>
        <w:rPr>
          <w:rFonts w:hint="eastAsia" w:ascii="宋体" w:hAnsi="宋体"/>
          <w:bCs/>
          <w:snapToGrid w:val="0"/>
          <w:color w:val="000000"/>
          <w:sz w:val="24"/>
          <w:szCs w:val="24"/>
        </w:rPr>
        <w:t>一、总则</w:t>
      </w:r>
    </w:p>
    <w:p>
      <w:pPr>
        <w:tabs>
          <w:tab w:val="left" w:pos="0"/>
          <w:tab w:val="left" w:pos="993"/>
          <w:tab w:val="left" w:pos="1134"/>
        </w:tabs>
        <w:adjustRightInd w:val="0"/>
        <w:snapToGrid w:val="0"/>
        <w:spacing w:line="440" w:lineRule="exact"/>
        <w:ind w:firstLine="480" w:firstLineChars="200"/>
        <w:rPr>
          <w:rFonts w:ascii="宋体" w:hAnsi="宋体"/>
          <w:bCs/>
          <w:snapToGrid w:val="0"/>
          <w:color w:val="000000"/>
          <w:sz w:val="24"/>
          <w:szCs w:val="24"/>
        </w:rPr>
      </w:pPr>
      <w:r>
        <w:rPr>
          <w:rFonts w:hint="eastAsia" w:ascii="宋体" w:hAnsi="宋体"/>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hint="eastAsia" w:ascii="宋体" w:hAnsi="宋体"/>
          <w:bCs/>
          <w:snapToGrid w:val="0"/>
          <w:color w:val="000000"/>
          <w:sz w:val="24"/>
          <w:szCs w:val="24"/>
        </w:rPr>
        <w:t>本综合评分法采用百分制形式，具体分值详见本细则。</w:t>
      </w:r>
    </w:p>
    <w:p>
      <w:pPr>
        <w:tabs>
          <w:tab w:val="left" w:pos="0"/>
          <w:tab w:val="left" w:pos="600"/>
          <w:tab w:val="left" w:pos="993"/>
          <w:tab w:val="left" w:pos="1134"/>
        </w:tabs>
        <w:adjustRightInd w:val="0"/>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二、评分标准</w:t>
      </w:r>
    </w:p>
    <w:p>
      <w:pPr>
        <w:tabs>
          <w:tab w:val="left" w:pos="0"/>
          <w:tab w:val="left" w:pos="600"/>
          <w:tab w:val="left" w:pos="1134"/>
        </w:tabs>
        <w:adjustRightInd w:val="0"/>
        <w:snapToGrid w:val="0"/>
        <w:spacing w:line="440" w:lineRule="exact"/>
      </w:pPr>
      <w:r>
        <w:rPr>
          <w:rFonts w:hint="eastAsia" w:ascii="宋体" w:hAnsi="宋体"/>
          <w:b/>
          <w:bCs/>
          <w:color w:val="000000"/>
          <w:sz w:val="24"/>
          <w:szCs w:val="24"/>
        </w:rPr>
        <w:t xml:space="preserve">    </w:t>
      </w:r>
      <w:bookmarkEnd w:id="29"/>
      <w:bookmarkEnd w:id="30"/>
      <w:bookmarkEnd w:id="34"/>
      <w:bookmarkEnd w:id="35"/>
      <w:bookmarkEnd w:id="3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2"/>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420" w:lineRule="exact"/>
              <w:jc w:val="center"/>
              <w:rPr>
                <w:rFonts w:ascii="宋体" w:hAnsi="宋体"/>
                <w:sz w:val="24"/>
                <w:szCs w:val="24"/>
              </w:rPr>
            </w:pPr>
            <w:r>
              <w:rPr>
                <w:rFonts w:hint="eastAsia" w:ascii="宋体" w:hAnsi="宋体"/>
                <w:sz w:val="24"/>
                <w:szCs w:val="24"/>
              </w:rPr>
              <w:t>项  目</w:t>
            </w:r>
          </w:p>
        </w:tc>
        <w:tc>
          <w:tcPr>
            <w:tcW w:w="7446" w:type="dxa"/>
            <w:tcMar>
              <w:top w:w="0" w:type="dxa"/>
              <w:left w:w="108" w:type="dxa"/>
              <w:bottom w:w="0" w:type="dxa"/>
              <w:right w:w="108" w:type="dxa"/>
            </w:tcMar>
            <w:vAlign w:val="center"/>
          </w:tcPr>
          <w:p>
            <w:pPr>
              <w:spacing w:line="420" w:lineRule="exact"/>
              <w:jc w:val="center"/>
              <w:rPr>
                <w:rFonts w:ascii="宋体" w:hAnsi="宋体"/>
                <w:sz w:val="24"/>
                <w:szCs w:val="24"/>
              </w:rPr>
            </w:pPr>
            <w:r>
              <w:rPr>
                <w:rFonts w:hint="eastAsia" w:ascii="宋体" w:hAnsi="宋体"/>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sz w:val="24"/>
                <w:szCs w:val="24"/>
              </w:rPr>
              <w:t>价 格</w:t>
            </w:r>
          </w:p>
          <w:p>
            <w:pPr>
              <w:spacing w:line="380" w:lineRule="exact"/>
              <w:jc w:val="center"/>
              <w:rPr>
                <w:rFonts w:ascii="宋体" w:hAnsi="宋体"/>
                <w:sz w:val="24"/>
                <w:szCs w:val="24"/>
              </w:rPr>
            </w:pPr>
            <w:r>
              <w:rPr>
                <w:rFonts w:hint="eastAsia" w:ascii="宋体" w:hAnsi="宋体"/>
                <w:sz w:val="24"/>
                <w:szCs w:val="24"/>
              </w:rPr>
              <w:t>（30分）</w:t>
            </w:r>
          </w:p>
        </w:tc>
        <w:tc>
          <w:tcPr>
            <w:tcW w:w="7446" w:type="dxa"/>
            <w:tcMar>
              <w:top w:w="0" w:type="dxa"/>
              <w:left w:w="108" w:type="dxa"/>
              <w:bottom w:w="0" w:type="dxa"/>
              <w:right w:w="108" w:type="dxa"/>
            </w:tcMar>
            <w:vAlign w:val="center"/>
          </w:tcPr>
          <w:p>
            <w:pPr>
              <w:widowControl/>
              <w:spacing w:line="380" w:lineRule="exact"/>
              <w:rPr>
                <w:rFonts w:ascii="宋体" w:hAnsi="宋体"/>
                <w:sz w:val="24"/>
                <w:szCs w:val="24"/>
              </w:rPr>
            </w:pPr>
            <w:r>
              <w:rPr>
                <w:rFonts w:hint="eastAsia" w:ascii="宋体" w:hAnsi="宋体"/>
                <w:sz w:val="24"/>
                <w:szCs w:val="24"/>
              </w:rPr>
              <w:t>以满足招标文件要求的最低报价为基准价，得满分30分，其它报价得分＝（基准价/其他报价）×30×100％。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sz w:val="24"/>
                <w:szCs w:val="24"/>
              </w:rPr>
              <w:t>质量技术性能及其他</w:t>
            </w:r>
          </w:p>
          <w:p>
            <w:pPr>
              <w:spacing w:line="380" w:lineRule="exact"/>
              <w:jc w:val="center"/>
              <w:rPr>
                <w:rFonts w:ascii="宋体" w:hAnsi="宋体"/>
                <w:sz w:val="24"/>
                <w:szCs w:val="24"/>
              </w:rPr>
            </w:pPr>
            <w:r>
              <w:rPr>
                <w:rFonts w:hint="eastAsia" w:ascii="宋体" w:hAnsi="宋体"/>
                <w:sz w:val="24"/>
                <w:szCs w:val="24"/>
              </w:rPr>
              <w:t>（30分）</w:t>
            </w:r>
          </w:p>
        </w:tc>
        <w:tc>
          <w:tcPr>
            <w:tcW w:w="7446" w:type="dxa"/>
            <w:tcMar>
              <w:top w:w="0" w:type="dxa"/>
              <w:left w:w="108" w:type="dxa"/>
              <w:bottom w:w="0" w:type="dxa"/>
              <w:right w:w="108" w:type="dxa"/>
            </w:tcMar>
            <w:vAlign w:val="center"/>
          </w:tcPr>
          <w:p>
            <w:pPr>
              <w:spacing w:line="380" w:lineRule="exact"/>
              <w:rPr>
                <w:rFonts w:ascii="宋体" w:hAnsi="宋体"/>
                <w:sz w:val="24"/>
                <w:szCs w:val="24"/>
              </w:rPr>
            </w:pPr>
            <w:r>
              <w:rPr>
                <w:rFonts w:hint="eastAsia" w:ascii="宋体" w:hAnsi="宋体"/>
                <w:sz w:val="24"/>
                <w:szCs w:val="24"/>
              </w:rPr>
              <w:t>根据各投标文件对技术性能的响应情况，完全响应得22分，核心指标正偏离一项加2分，最高加8分，核心指标负偏离一项扣3分，一般指标负偏离一项扣1分，有三项及以上核心指标负偏离本大项不得分。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color w:val="000000"/>
                <w:sz w:val="24"/>
                <w:szCs w:val="24"/>
              </w:rPr>
              <w:t>行业认证资质、使用用户品牌认可度</w:t>
            </w:r>
            <w:r>
              <w:rPr>
                <w:rFonts w:hint="eastAsia" w:ascii="宋体" w:hAnsi="宋体"/>
                <w:sz w:val="24"/>
                <w:szCs w:val="24"/>
              </w:rPr>
              <w:t>（9分）</w:t>
            </w:r>
          </w:p>
        </w:tc>
        <w:tc>
          <w:tcPr>
            <w:tcW w:w="7446" w:type="dxa"/>
            <w:tcMar>
              <w:top w:w="0" w:type="dxa"/>
              <w:left w:w="108" w:type="dxa"/>
              <w:bottom w:w="0" w:type="dxa"/>
              <w:right w:w="108" w:type="dxa"/>
            </w:tcMar>
            <w:vAlign w:val="center"/>
          </w:tcPr>
          <w:p>
            <w:pPr>
              <w:shd w:val="clear" w:color="auto" w:fill="FFFFFF"/>
              <w:spacing w:line="380" w:lineRule="exact"/>
              <w:rPr>
                <w:rFonts w:ascii="宋体" w:hAnsi="宋体"/>
                <w:sz w:val="24"/>
                <w:szCs w:val="24"/>
              </w:rPr>
            </w:pPr>
            <w:r>
              <w:rPr>
                <w:rFonts w:hint="eastAsia" w:ascii="宋体" w:hAnsi="宋体"/>
                <w:sz w:val="24"/>
                <w:szCs w:val="24"/>
              </w:rPr>
              <w:t>1.投标人所投LED显示屏产品提供合法有效的FCC、CE、CCC、ROHS、中国节能产品认证证书，每提供一份证书或报告得1分，满分3分（提供证书报告复印件加盖厂家公章）。</w:t>
            </w:r>
          </w:p>
          <w:p>
            <w:pPr>
              <w:shd w:val="clear" w:color="auto" w:fill="FFFFFF"/>
              <w:spacing w:line="380" w:lineRule="exact"/>
              <w:rPr>
                <w:rFonts w:ascii="宋体" w:hAnsi="宋体"/>
                <w:sz w:val="24"/>
                <w:szCs w:val="24"/>
              </w:rPr>
            </w:pPr>
            <w:r>
              <w:rPr>
                <w:rFonts w:hint="eastAsia" w:ascii="宋体" w:hAnsi="宋体"/>
                <w:sz w:val="24"/>
                <w:szCs w:val="24"/>
              </w:rPr>
              <w:t>2.LED显示屏生产厂商具有ISO9001质量管理体系证书、ISO14001环境管理体系证书、 OHSAS18001职业健康安全管理体系证书，每提供一份证书得2分，满分6分（提供证书复印件加盖厂家公章）。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sz w:val="24"/>
                <w:szCs w:val="24"/>
              </w:rPr>
              <w:t>样品</w:t>
            </w:r>
            <w:r>
              <w:rPr>
                <w:rFonts w:ascii="宋体" w:hAnsi="宋体"/>
                <w:sz w:val="24"/>
                <w:szCs w:val="24"/>
              </w:rPr>
              <w:t xml:space="preserve"> (</w:t>
            </w:r>
            <w:r>
              <w:rPr>
                <w:rFonts w:hint="eastAsia" w:ascii="宋体" w:hAnsi="宋体"/>
                <w:sz w:val="24"/>
                <w:szCs w:val="24"/>
                <w:lang w:val="en-US" w:eastAsia="zh-CN"/>
              </w:rPr>
              <w:t>10</w:t>
            </w:r>
            <w:r>
              <w:rPr>
                <w:rFonts w:ascii="宋体" w:hAnsi="宋体"/>
                <w:sz w:val="24"/>
                <w:szCs w:val="24"/>
              </w:rPr>
              <w:t>分)</w:t>
            </w:r>
          </w:p>
        </w:tc>
        <w:tc>
          <w:tcPr>
            <w:tcW w:w="7446" w:type="dxa"/>
            <w:tcMar>
              <w:top w:w="0" w:type="dxa"/>
              <w:left w:w="108" w:type="dxa"/>
              <w:bottom w:w="0" w:type="dxa"/>
              <w:right w:w="108" w:type="dxa"/>
            </w:tcMar>
            <w:vAlign w:val="center"/>
          </w:tcPr>
          <w:p>
            <w:pPr>
              <w:spacing w:line="380" w:lineRule="exact"/>
              <w:rPr>
                <w:rFonts w:ascii="宋体" w:hAnsi="宋体"/>
                <w:sz w:val="24"/>
                <w:szCs w:val="24"/>
              </w:rPr>
            </w:pPr>
            <w:r>
              <w:rPr>
                <w:rFonts w:hint="eastAsia" w:ascii="宋体" w:hAnsi="宋体"/>
                <w:sz w:val="24"/>
                <w:szCs w:val="24"/>
              </w:rPr>
              <w:t>1.</w:t>
            </w:r>
            <w:r>
              <w:rPr>
                <w:rFonts w:ascii="宋体" w:hAnsi="宋体"/>
                <w:sz w:val="24"/>
                <w:szCs w:val="24"/>
              </w:rPr>
              <w:t>未按要求提供样品的不得分</w:t>
            </w:r>
            <w:r>
              <w:rPr>
                <w:rFonts w:hint="eastAsia" w:ascii="宋体" w:hAnsi="宋体"/>
                <w:sz w:val="24"/>
                <w:szCs w:val="24"/>
              </w:rPr>
              <w:t>。</w:t>
            </w:r>
          </w:p>
          <w:p>
            <w:pPr>
              <w:spacing w:line="380" w:lineRule="exact"/>
              <w:rPr>
                <w:rFonts w:ascii="宋体" w:hAnsi="宋体"/>
                <w:sz w:val="24"/>
                <w:szCs w:val="24"/>
              </w:rPr>
            </w:pPr>
            <w:r>
              <w:rPr>
                <w:rFonts w:hint="eastAsia" w:ascii="宋体" w:hAnsi="宋体"/>
                <w:sz w:val="24"/>
                <w:szCs w:val="24"/>
              </w:rPr>
              <w:t>2.</w:t>
            </w:r>
            <w:r>
              <w:rPr>
                <w:rFonts w:ascii="宋体" w:hAnsi="宋体"/>
                <w:sz w:val="24"/>
                <w:szCs w:val="24"/>
              </w:rPr>
              <w:t>开标时，投标方提供不小于0.</w:t>
            </w:r>
            <w:r>
              <w:rPr>
                <w:rFonts w:hint="eastAsia" w:ascii="宋体" w:hAnsi="宋体"/>
                <w:sz w:val="24"/>
                <w:szCs w:val="24"/>
              </w:rPr>
              <w:t>0</w:t>
            </w:r>
            <w:r>
              <w:rPr>
                <w:rFonts w:ascii="宋体" w:hAnsi="宋体"/>
                <w:sz w:val="24"/>
                <w:szCs w:val="24"/>
              </w:rPr>
              <w:t>5平方米的LED显示屏与投标型号相同的点间距样品一套；展示用于LED屏安装结构件 (不大于0.3m) 及表面装饰样品</w:t>
            </w:r>
            <w:r>
              <w:rPr>
                <w:rFonts w:hint="eastAsia" w:ascii="宋体" w:hAnsi="宋体"/>
                <w:sz w:val="24"/>
                <w:szCs w:val="24"/>
              </w:rPr>
              <w:t>；</w:t>
            </w:r>
            <w:r>
              <w:rPr>
                <w:rFonts w:ascii="宋体" w:hAnsi="宋体"/>
                <w:sz w:val="24"/>
                <w:szCs w:val="24"/>
              </w:rPr>
              <w:t>投标方</w:t>
            </w:r>
            <w:r>
              <w:rPr>
                <w:rFonts w:hint="eastAsia" w:ascii="宋体" w:hAnsi="宋体"/>
                <w:sz w:val="24"/>
                <w:szCs w:val="24"/>
              </w:rPr>
              <w:t>须对提供</w:t>
            </w:r>
            <w:r>
              <w:rPr>
                <w:rFonts w:ascii="宋体" w:hAnsi="宋体"/>
                <w:sz w:val="24"/>
                <w:szCs w:val="24"/>
              </w:rPr>
              <w:t>LED显示屏进行封样</w:t>
            </w:r>
            <w:r>
              <w:rPr>
                <w:rFonts w:hint="eastAsia" w:ascii="宋体" w:hAnsi="宋体"/>
                <w:sz w:val="24"/>
                <w:szCs w:val="24"/>
              </w:rPr>
              <w:t>。</w:t>
            </w:r>
            <w:r>
              <w:rPr>
                <w:rFonts w:ascii="宋体" w:hAnsi="宋体"/>
                <w:sz w:val="24"/>
                <w:szCs w:val="24"/>
              </w:rPr>
              <w:t>（</w:t>
            </w:r>
            <w:r>
              <w:rPr>
                <w:rFonts w:hint="eastAsia" w:ascii="宋体" w:hAnsi="宋体"/>
                <w:sz w:val="24"/>
                <w:szCs w:val="24"/>
                <w:lang w:val="en-US" w:eastAsia="zh-CN"/>
              </w:rPr>
              <w:t>6</w:t>
            </w:r>
            <w:r>
              <w:rPr>
                <w:rFonts w:ascii="宋体" w:hAnsi="宋体"/>
                <w:sz w:val="24"/>
                <w:szCs w:val="24"/>
              </w:rPr>
              <w:t>分）</w:t>
            </w:r>
          </w:p>
          <w:p>
            <w:pPr>
              <w:spacing w:line="380" w:lineRule="exact"/>
              <w:rPr>
                <w:rFonts w:ascii="宋体" w:hAnsi="宋体"/>
                <w:sz w:val="24"/>
                <w:szCs w:val="24"/>
              </w:rPr>
            </w:pPr>
            <w:r>
              <w:rPr>
                <w:rFonts w:hint="eastAsia" w:ascii="宋体" w:hAnsi="宋体"/>
                <w:sz w:val="24"/>
                <w:szCs w:val="24"/>
              </w:rPr>
              <w:t>3.</w:t>
            </w:r>
            <w:r>
              <w:rPr>
                <w:rFonts w:ascii="宋体" w:hAnsi="宋体"/>
                <w:sz w:val="24"/>
                <w:szCs w:val="24"/>
              </w:rPr>
              <w:t>LED显示屏采用正面维护方式</w:t>
            </w:r>
            <w:r>
              <w:rPr>
                <w:rFonts w:hint="eastAsia" w:ascii="宋体" w:hAnsi="宋体"/>
                <w:sz w:val="24"/>
                <w:szCs w:val="24"/>
              </w:rPr>
              <w:t>。</w:t>
            </w:r>
            <w:r>
              <w:rPr>
                <w:rFonts w:ascii="宋体" w:hAnsi="宋体"/>
                <w:sz w:val="24"/>
                <w:szCs w:val="24"/>
              </w:rPr>
              <w:t>（</w:t>
            </w:r>
            <w:r>
              <w:rPr>
                <w:rFonts w:hint="eastAsia" w:ascii="宋体" w:hAnsi="宋体"/>
                <w:sz w:val="24"/>
                <w:szCs w:val="24"/>
                <w:lang w:val="en-US" w:eastAsia="zh-CN"/>
              </w:rPr>
              <w:t>4</w:t>
            </w:r>
            <w:r>
              <w:rPr>
                <w:rFonts w:ascii="宋体" w:hAnsi="宋体"/>
                <w:sz w:val="24"/>
                <w:szCs w:val="24"/>
              </w:rPr>
              <w:t>分）</w:t>
            </w:r>
          </w:p>
          <w:p>
            <w:pPr>
              <w:spacing w:line="380" w:lineRule="exact"/>
              <w:rPr>
                <w:rFonts w:ascii="宋体" w:hAnsi="宋体"/>
                <w:sz w:val="24"/>
                <w:szCs w:val="24"/>
              </w:rPr>
            </w:pPr>
            <w:r>
              <w:rPr>
                <w:rFonts w:hint="eastAsia" w:ascii="宋体" w:hAnsi="宋体"/>
                <w:sz w:val="24"/>
                <w:szCs w:val="24"/>
              </w:rPr>
              <w:t>评委根据各投标人样品材质、表面处理工艺、外观、显示效果、技术参数的配置符合性酌情打分。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sz w:val="24"/>
                <w:szCs w:val="24"/>
              </w:rPr>
              <w:t>项目实施能力</w:t>
            </w:r>
          </w:p>
          <w:p>
            <w:pPr>
              <w:spacing w:line="380" w:lineRule="exact"/>
              <w:jc w:val="center"/>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分）</w:t>
            </w:r>
          </w:p>
        </w:tc>
        <w:tc>
          <w:tcPr>
            <w:tcW w:w="7446" w:type="dxa"/>
            <w:tcMar>
              <w:top w:w="0" w:type="dxa"/>
              <w:left w:w="108" w:type="dxa"/>
              <w:bottom w:w="0" w:type="dxa"/>
              <w:right w:w="108" w:type="dxa"/>
            </w:tcMar>
            <w:vAlign w:val="center"/>
          </w:tcPr>
          <w:p>
            <w:pPr>
              <w:spacing w:line="380" w:lineRule="exact"/>
              <w:rPr>
                <w:rFonts w:ascii="宋体" w:hAnsi="宋体"/>
                <w:sz w:val="24"/>
                <w:szCs w:val="24"/>
              </w:rPr>
            </w:pPr>
            <w:r>
              <w:rPr>
                <w:rFonts w:hint="eastAsia" w:ascii="宋体" w:hAnsi="宋体"/>
                <w:sz w:val="24"/>
                <w:szCs w:val="24"/>
              </w:rPr>
              <w:t>1.根据各投标单位所提供的施工方案，组织计划，设计、保证项目质量措施等进行综合等进行综合评审，最优</w:t>
            </w:r>
            <w:r>
              <w:rPr>
                <w:rFonts w:hint="eastAsia" w:ascii="宋体" w:hAnsi="宋体"/>
                <w:sz w:val="24"/>
                <w:szCs w:val="24"/>
                <w:lang w:val="en-US" w:eastAsia="zh-CN"/>
              </w:rPr>
              <w:t>5</w:t>
            </w:r>
            <w:r>
              <w:rPr>
                <w:rFonts w:hint="eastAsia" w:ascii="宋体" w:hAnsi="宋体"/>
                <w:sz w:val="24"/>
                <w:szCs w:val="24"/>
              </w:rPr>
              <w:t>分，好</w:t>
            </w:r>
            <w:r>
              <w:rPr>
                <w:rFonts w:hint="eastAsia" w:ascii="宋体" w:hAnsi="宋体"/>
                <w:sz w:val="24"/>
                <w:szCs w:val="24"/>
                <w:lang w:val="en-US" w:eastAsia="zh-CN"/>
              </w:rPr>
              <w:t>3</w:t>
            </w:r>
            <w:r>
              <w:rPr>
                <w:rFonts w:hint="eastAsia" w:ascii="宋体" w:hAnsi="宋体"/>
                <w:sz w:val="24"/>
                <w:szCs w:val="24"/>
              </w:rPr>
              <w:t>分，一般</w:t>
            </w:r>
            <w:r>
              <w:rPr>
                <w:rFonts w:hint="eastAsia" w:ascii="宋体" w:hAnsi="宋体"/>
                <w:sz w:val="24"/>
                <w:szCs w:val="24"/>
                <w:lang w:val="en-US" w:eastAsia="zh-CN"/>
              </w:rPr>
              <w:t>1</w:t>
            </w:r>
            <w:r>
              <w:rPr>
                <w:rFonts w:hint="eastAsia" w:ascii="宋体" w:hAnsi="宋体"/>
                <w:sz w:val="24"/>
                <w:szCs w:val="24"/>
              </w:rPr>
              <w:t>分。未提供详细的项目实施方案不得分。</w:t>
            </w:r>
          </w:p>
          <w:p>
            <w:pPr>
              <w:pStyle w:val="7"/>
              <w:spacing w:line="380" w:lineRule="exact"/>
              <w:rPr>
                <w:sz w:val="24"/>
                <w:szCs w:val="24"/>
              </w:rPr>
            </w:pPr>
            <w:r>
              <w:rPr>
                <w:rFonts w:hint="eastAsia" w:hAnsi="宋体"/>
                <w:sz w:val="24"/>
                <w:szCs w:val="24"/>
              </w:rPr>
              <w:t>2.投标单位提供近三年</w:t>
            </w:r>
            <w:r>
              <w:rPr>
                <w:rFonts w:hAnsi="宋体"/>
                <w:sz w:val="24"/>
                <w:szCs w:val="24"/>
              </w:rPr>
              <w:t>类似项目竣工案例，且合同金额为</w:t>
            </w:r>
            <w:r>
              <w:rPr>
                <w:rFonts w:hint="eastAsia" w:hAnsi="宋体"/>
                <w:sz w:val="24"/>
                <w:szCs w:val="24"/>
                <w:lang w:val="en-US" w:eastAsia="zh-CN"/>
              </w:rPr>
              <w:t>10</w:t>
            </w:r>
            <w:r>
              <w:rPr>
                <w:rFonts w:hAnsi="宋体"/>
                <w:sz w:val="24"/>
                <w:szCs w:val="24"/>
              </w:rPr>
              <w:t>万元以上业绩的，每个合同得1分，最高</w:t>
            </w:r>
            <w:r>
              <w:rPr>
                <w:rFonts w:hint="eastAsia" w:hAnsi="宋体"/>
                <w:sz w:val="24"/>
                <w:szCs w:val="24"/>
              </w:rPr>
              <w:t>4</w:t>
            </w:r>
            <w:r>
              <w:rPr>
                <w:rFonts w:hAnsi="宋体"/>
                <w:sz w:val="24"/>
                <w:szCs w:val="24"/>
              </w:rPr>
              <w:t>分</w:t>
            </w:r>
            <w:r>
              <w:rPr>
                <w:rFonts w:hint="eastAsia" w:hAnsi="宋体"/>
                <w:sz w:val="24"/>
                <w:szCs w:val="24"/>
              </w:rPr>
              <w:t>。</w:t>
            </w:r>
            <w:r>
              <w:rPr>
                <w:rFonts w:hAnsi="宋体"/>
                <w:sz w:val="24"/>
                <w:szCs w:val="24"/>
              </w:rPr>
              <w:t>提供复印件即可，原件备查</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2" w:type="dxa"/>
            <w:tcMar>
              <w:top w:w="0" w:type="dxa"/>
              <w:left w:w="108" w:type="dxa"/>
              <w:bottom w:w="0" w:type="dxa"/>
              <w:right w:w="108" w:type="dxa"/>
            </w:tcMar>
            <w:vAlign w:val="center"/>
          </w:tcPr>
          <w:p>
            <w:pPr>
              <w:spacing w:line="380" w:lineRule="exact"/>
              <w:jc w:val="center"/>
              <w:rPr>
                <w:rFonts w:ascii="宋体" w:hAnsi="宋体"/>
                <w:sz w:val="24"/>
                <w:szCs w:val="24"/>
              </w:rPr>
            </w:pPr>
            <w:r>
              <w:rPr>
                <w:rFonts w:hint="eastAsia" w:ascii="宋体" w:hAnsi="宋体"/>
                <w:sz w:val="24"/>
                <w:szCs w:val="24"/>
              </w:rPr>
              <w:t>售后服务</w:t>
            </w:r>
          </w:p>
          <w:p>
            <w:pPr>
              <w:spacing w:line="380" w:lineRule="exact"/>
              <w:jc w:val="center"/>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分）</w:t>
            </w:r>
          </w:p>
        </w:tc>
        <w:tc>
          <w:tcPr>
            <w:tcW w:w="7446" w:type="dxa"/>
            <w:tcMar>
              <w:top w:w="0" w:type="dxa"/>
              <w:left w:w="108" w:type="dxa"/>
              <w:bottom w:w="0" w:type="dxa"/>
              <w:right w:w="108" w:type="dxa"/>
            </w:tcMar>
            <w:vAlign w:val="center"/>
          </w:tcPr>
          <w:p>
            <w:pPr>
              <w:spacing w:line="380" w:lineRule="exact"/>
              <w:rPr>
                <w:rFonts w:ascii="宋体" w:hAnsi="宋体"/>
                <w:sz w:val="24"/>
                <w:szCs w:val="24"/>
              </w:rPr>
            </w:pPr>
            <w:r>
              <w:rPr>
                <w:rFonts w:hint="eastAsia" w:ascii="宋体" w:hAnsi="宋体"/>
                <w:sz w:val="24"/>
                <w:szCs w:val="24"/>
              </w:rPr>
              <w:t>1.</w:t>
            </w:r>
            <w:r>
              <w:rPr>
                <w:rFonts w:ascii="宋体" w:hAnsi="宋体"/>
                <w:sz w:val="24"/>
                <w:szCs w:val="24"/>
              </w:rPr>
              <w:t>免费质保及维保期内及期后服务方案：如服务体系、服务内容、故障解决方案等，最优的得</w:t>
            </w:r>
            <w:r>
              <w:rPr>
                <w:rFonts w:hint="eastAsia" w:ascii="宋体" w:hAnsi="宋体"/>
                <w:sz w:val="24"/>
                <w:szCs w:val="24"/>
                <w:lang w:val="en-US" w:eastAsia="zh-CN"/>
              </w:rPr>
              <w:t>3</w:t>
            </w:r>
            <w:r>
              <w:rPr>
                <w:rFonts w:ascii="宋体" w:hAnsi="宋体"/>
                <w:sz w:val="24"/>
                <w:szCs w:val="24"/>
              </w:rPr>
              <w:t>分；</w:t>
            </w:r>
          </w:p>
          <w:p>
            <w:pPr>
              <w:spacing w:line="380" w:lineRule="exact"/>
              <w:rPr>
                <w:rFonts w:ascii="宋体" w:hAnsi="宋体"/>
                <w:sz w:val="24"/>
                <w:szCs w:val="24"/>
              </w:rPr>
            </w:pPr>
            <w:r>
              <w:rPr>
                <w:rFonts w:hint="eastAsia" w:ascii="宋体" w:hAnsi="宋体"/>
                <w:sz w:val="24"/>
                <w:szCs w:val="24"/>
              </w:rPr>
              <w:t>2.</w:t>
            </w:r>
            <w:r>
              <w:rPr>
                <w:rFonts w:ascii="宋体" w:hAnsi="宋体"/>
                <w:sz w:val="24"/>
                <w:szCs w:val="24"/>
              </w:rPr>
              <w:t>免费质保期满足招标文件需求；免费维保期每延长1年，加</w:t>
            </w:r>
            <w:r>
              <w:rPr>
                <w:rFonts w:hint="eastAsia" w:ascii="宋体" w:hAnsi="宋体"/>
                <w:sz w:val="24"/>
                <w:szCs w:val="24"/>
                <w:lang w:val="en-US" w:eastAsia="zh-CN"/>
              </w:rPr>
              <w:t>2</w:t>
            </w:r>
            <w:r>
              <w:rPr>
                <w:rFonts w:ascii="宋体" w:hAnsi="宋体"/>
                <w:sz w:val="24"/>
                <w:szCs w:val="24"/>
              </w:rPr>
              <w:t>分，最高加</w:t>
            </w:r>
            <w:r>
              <w:rPr>
                <w:rFonts w:hint="eastAsia" w:ascii="宋体" w:hAnsi="宋体"/>
                <w:sz w:val="24"/>
                <w:szCs w:val="24"/>
                <w:lang w:val="en-US" w:eastAsia="zh-CN"/>
              </w:rPr>
              <w:t>6</w:t>
            </w:r>
            <w:r>
              <w:rPr>
                <w:rFonts w:ascii="宋体" w:hAnsi="宋体"/>
                <w:sz w:val="24"/>
                <w:szCs w:val="24"/>
              </w:rPr>
              <w:t>分；</w:t>
            </w:r>
          </w:p>
          <w:p>
            <w:pPr>
              <w:spacing w:line="380" w:lineRule="exact"/>
              <w:rPr>
                <w:rFonts w:ascii="宋体" w:hAnsi="宋体"/>
                <w:sz w:val="24"/>
                <w:szCs w:val="24"/>
              </w:rPr>
            </w:pPr>
            <w:r>
              <w:rPr>
                <w:rFonts w:hint="eastAsia" w:ascii="宋体" w:hAnsi="宋体"/>
                <w:sz w:val="24"/>
                <w:szCs w:val="24"/>
              </w:rPr>
              <w:t>3.</w:t>
            </w:r>
            <w:r>
              <w:rPr>
                <w:rFonts w:ascii="宋体" w:hAnsi="宋体"/>
                <w:sz w:val="24"/>
                <w:szCs w:val="24"/>
              </w:rPr>
              <w:t>处理故障响应时间</w:t>
            </w:r>
            <w:r>
              <w:rPr>
                <w:rFonts w:hint="eastAsia" w:ascii="宋体" w:hAnsi="宋体"/>
                <w:sz w:val="24"/>
                <w:szCs w:val="24"/>
                <w:lang w:val="en-US" w:eastAsia="zh-CN"/>
              </w:rPr>
              <w:t>小于12</w:t>
            </w:r>
            <w:r>
              <w:rPr>
                <w:rFonts w:ascii="宋体" w:hAnsi="宋体"/>
                <w:sz w:val="24"/>
                <w:szCs w:val="24"/>
              </w:rPr>
              <w:t>小时</w:t>
            </w:r>
            <w:r>
              <w:rPr>
                <w:rFonts w:hint="eastAsia" w:ascii="宋体" w:hAnsi="宋体"/>
                <w:sz w:val="24"/>
                <w:szCs w:val="24"/>
                <w:lang w:eastAsia="zh-CN"/>
              </w:rPr>
              <w:t>，</w:t>
            </w:r>
            <w:r>
              <w:rPr>
                <w:rFonts w:ascii="宋体" w:hAnsi="宋体"/>
                <w:sz w:val="24"/>
                <w:szCs w:val="24"/>
              </w:rPr>
              <w:t>得</w:t>
            </w:r>
            <w:r>
              <w:rPr>
                <w:rFonts w:hint="eastAsia" w:ascii="宋体" w:hAnsi="宋体"/>
                <w:sz w:val="24"/>
                <w:szCs w:val="24"/>
                <w:lang w:val="en-US" w:eastAsia="zh-CN"/>
              </w:rPr>
              <w:t>1</w:t>
            </w:r>
            <w:r>
              <w:rPr>
                <w:rFonts w:ascii="宋体" w:hAnsi="宋体"/>
                <w:sz w:val="24"/>
                <w:szCs w:val="24"/>
              </w:rPr>
              <w:t>分</w:t>
            </w:r>
            <w:bookmarkStart w:id="57" w:name="_GoBack"/>
            <w:bookmarkEnd w:id="57"/>
            <w:r>
              <w:rPr>
                <w:rFonts w:ascii="宋体" w:hAnsi="宋体"/>
                <w:sz w:val="24"/>
                <w:szCs w:val="24"/>
              </w:rPr>
              <w:t>。</w:t>
            </w:r>
          </w:p>
          <w:p>
            <w:pPr>
              <w:spacing w:line="380" w:lineRule="exact"/>
              <w:rPr>
                <w:rFonts w:ascii="宋体" w:hAnsi="宋体"/>
                <w:sz w:val="24"/>
                <w:szCs w:val="24"/>
              </w:rPr>
            </w:pPr>
            <w:r>
              <w:rPr>
                <w:rFonts w:hint="eastAsia" w:ascii="宋体" w:hAnsi="宋体"/>
                <w:sz w:val="24"/>
                <w:szCs w:val="24"/>
              </w:rPr>
              <w:t>4.</w:t>
            </w:r>
            <w:r>
              <w:rPr>
                <w:rFonts w:ascii="宋体" w:hAnsi="宋体"/>
                <w:sz w:val="24"/>
                <w:szCs w:val="24"/>
              </w:rPr>
              <w:t>免费质保及维保期结束后，继续提供优惠维修及更换损坏配件的，维修及配件（原配件）费用报价优惠合理的得</w:t>
            </w:r>
            <w:r>
              <w:rPr>
                <w:rFonts w:hint="eastAsia" w:ascii="宋体" w:hAnsi="宋体"/>
                <w:sz w:val="24"/>
                <w:szCs w:val="24"/>
                <w:lang w:val="en-US" w:eastAsia="zh-CN"/>
              </w:rPr>
              <w:t>2</w:t>
            </w:r>
            <w:r>
              <w:rPr>
                <w:rFonts w:ascii="宋体" w:hAnsi="宋体"/>
                <w:sz w:val="24"/>
                <w:szCs w:val="24"/>
              </w:rPr>
              <w:t>分。</w:t>
            </w:r>
          </w:p>
        </w:tc>
      </w:tr>
    </w:tbl>
    <w:p>
      <w:pPr>
        <w:tabs>
          <w:tab w:val="left" w:pos="0"/>
          <w:tab w:val="left" w:pos="600"/>
          <w:tab w:val="left" w:pos="1134"/>
        </w:tabs>
        <w:adjustRightInd w:val="0"/>
        <w:snapToGrid w:val="0"/>
        <w:spacing w:line="440" w:lineRule="exact"/>
      </w:pPr>
    </w:p>
    <w:p>
      <w:pPr>
        <w:pStyle w:val="2"/>
        <w:rPr>
          <w:rFonts w:cs="宋体"/>
          <w:bCs/>
          <w:sz w:val="4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7" w:name="_Hlt26955039"/>
      <w:bookmarkEnd w:id="37"/>
      <w:bookmarkStart w:id="38" w:name="_Hlt26671244"/>
      <w:bookmarkEnd w:id="38"/>
      <w:bookmarkStart w:id="39" w:name="_Toc120614282"/>
      <w:bookmarkStart w:id="40" w:name="_Toc26554094"/>
      <w:bookmarkStart w:id="41"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4"/>
        <w:ind w:firstLine="280"/>
      </w:pPr>
    </w:p>
    <w:bookmarkEnd w:id="39"/>
    <w:bookmarkEnd w:id="40"/>
    <w:bookmarkEnd w:id="41"/>
    <w:p>
      <w:pPr>
        <w:pStyle w:val="4"/>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42" w:name="_Toc462564147"/>
      <w:bookmarkStart w:id="43"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rPr>
                <w:rFonts w:ascii="宋体" w:hAnsi="宋体" w:cs="宋体"/>
                <w:b/>
              </w:rPr>
            </w:pPr>
            <w:r>
              <w:rPr>
                <w:rFonts w:hint="eastAsia" w:ascii="宋体" w:hAnsi="宋体" w:cs="宋体"/>
                <w:b/>
              </w:rPr>
              <w:t>序号</w:t>
            </w:r>
          </w:p>
        </w:tc>
        <w:tc>
          <w:tcPr>
            <w:tcW w:w="4475" w:type="dxa"/>
            <w:noWrap/>
            <w:vAlign w:val="center"/>
          </w:tcPr>
          <w:p>
            <w:pPr>
              <w:ind w:firstLine="422" w:firstLineChars="200"/>
              <w:jc w:val="center"/>
              <w:rPr>
                <w:rFonts w:ascii="宋体" w:hAnsi="宋体" w:cs="宋体"/>
                <w:b/>
              </w:rPr>
            </w:pPr>
            <w:r>
              <w:rPr>
                <w:rFonts w:hint="eastAsia" w:ascii="宋体" w:hAnsi="宋体" w:cs="宋体"/>
                <w:b/>
              </w:rPr>
              <w:t>项目</w:t>
            </w:r>
          </w:p>
        </w:tc>
        <w:tc>
          <w:tcPr>
            <w:tcW w:w="1985" w:type="dxa"/>
            <w:noWrap/>
            <w:vAlign w:val="center"/>
          </w:tcPr>
          <w:p>
            <w:pPr>
              <w:ind w:firstLine="422" w:firstLineChars="200"/>
              <w:jc w:val="center"/>
              <w:rPr>
                <w:rFonts w:ascii="宋体" w:hAnsi="宋体" w:cs="宋体"/>
                <w:b/>
              </w:rPr>
            </w:pPr>
            <w:r>
              <w:rPr>
                <w:rFonts w:hint="eastAsia" w:ascii="宋体" w:hAnsi="宋体" w:cs="宋体"/>
                <w:b/>
              </w:rPr>
              <w:t>说明</w:t>
            </w:r>
          </w:p>
        </w:tc>
        <w:tc>
          <w:tcPr>
            <w:tcW w:w="1559" w:type="dxa"/>
            <w:noWrap/>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w:t>
            </w:r>
          </w:p>
        </w:tc>
        <w:tc>
          <w:tcPr>
            <w:tcW w:w="4475" w:type="dxa"/>
            <w:noWrap/>
            <w:vAlign w:val="center"/>
          </w:tcPr>
          <w:p>
            <w:pPr>
              <w:jc w:val="center"/>
              <w:rPr>
                <w:rFonts w:ascii="宋体" w:hAnsi="宋体" w:cs="宋体"/>
              </w:rPr>
            </w:pPr>
            <w:r>
              <w:rPr>
                <w:rFonts w:hint="eastAsia" w:ascii="宋体" w:hAnsi="宋体" w:cs="宋体"/>
              </w:rPr>
              <w:t>企业法人营业执照副本复印件</w:t>
            </w:r>
          </w:p>
        </w:tc>
        <w:tc>
          <w:tcPr>
            <w:tcW w:w="1985" w:type="dxa"/>
            <w:noWrap/>
            <w:vAlign w:val="center"/>
          </w:tcPr>
          <w:p>
            <w:pPr>
              <w:jc w:val="center"/>
              <w:rPr>
                <w:rFonts w:ascii="宋体" w:hAnsi="宋体" w:cs="宋体"/>
              </w:rPr>
            </w:pPr>
            <w:r>
              <w:rPr>
                <w:rFonts w:hint="eastAsia" w:ascii="宋体" w:hAnsi="宋体" w:cs="宋体"/>
              </w:rPr>
              <w:t>经年检，加盖公司公章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2</w:t>
            </w:r>
          </w:p>
        </w:tc>
        <w:tc>
          <w:tcPr>
            <w:tcW w:w="4475" w:type="dxa"/>
            <w:noWrap/>
            <w:vAlign w:val="center"/>
          </w:tcPr>
          <w:p>
            <w:pPr>
              <w:jc w:val="center"/>
              <w:rPr>
                <w:rFonts w:ascii="宋体" w:hAnsi="宋体" w:cs="宋体"/>
              </w:rPr>
            </w:pPr>
            <w:r>
              <w:rPr>
                <w:rFonts w:hint="eastAsia" w:ascii="宋体" w:hAnsi="宋体" w:cs="宋体"/>
              </w:rPr>
              <w:t>税务登记证复印件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3</w:t>
            </w:r>
          </w:p>
        </w:tc>
        <w:tc>
          <w:tcPr>
            <w:tcW w:w="4475" w:type="dxa"/>
            <w:noWrap/>
            <w:vAlign w:val="center"/>
          </w:tcPr>
          <w:p>
            <w:pPr>
              <w:jc w:val="center"/>
              <w:rPr>
                <w:rFonts w:ascii="宋体" w:hAnsi="宋体" w:cs="宋体"/>
              </w:rPr>
            </w:pPr>
            <w:r>
              <w:rPr>
                <w:rFonts w:hint="eastAsia" w:ascii="宋体" w:hAnsi="宋体" w:cs="宋体"/>
              </w:rPr>
              <w:t>组织机构代码证复印件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4</w:t>
            </w:r>
          </w:p>
        </w:tc>
        <w:tc>
          <w:tcPr>
            <w:tcW w:w="4475" w:type="dxa"/>
            <w:noWrap/>
            <w:vAlign w:val="center"/>
          </w:tcPr>
          <w:p>
            <w:pPr>
              <w:jc w:val="center"/>
              <w:rPr>
                <w:rFonts w:ascii="宋体" w:hAnsi="宋体" w:cs="宋体"/>
              </w:rPr>
            </w:pPr>
            <w:r>
              <w:rPr>
                <w:rFonts w:hint="eastAsia" w:ascii="宋体" w:hAnsi="宋体" w:cs="宋体"/>
              </w:rPr>
              <w:t>法定代表身份证明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5</w:t>
            </w:r>
          </w:p>
        </w:tc>
        <w:tc>
          <w:tcPr>
            <w:tcW w:w="4475" w:type="dxa"/>
            <w:noWrap/>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6</w:t>
            </w:r>
          </w:p>
        </w:tc>
        <w:tc>
          <w:tcPr>
            <w:tcW w:w="4475" w:type="dxa"/>
            <w:noWrap/>
            <w:vAlign w:val="center"/>
          </w:tcPr>
          <w:p>
            <w:pPr>
              <w:jc w:val="center"/>
              <w:rPr>
                <w:rFonts w:ascii="宋体" w:hAnsi="宋体" w:cs="宋体"/>
              </w:rPr>
            </w:pPr>
            <w:r>
              <w:rPr>
                <w:rFonts w:hint="eastAsia" w:ascii="宋体" w:hAnsi="宋体" w:cs="宋体"/>
              </w:rPr>
              <w:t>法定代表授权委托书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7</w:t>
            </w:r>
          </w:p>
        </w:tc>
        <w:tc>
          <w:tcPr>
            <w:tcW w:w="4475" w:type="dxa"/>
            <w:noWrap/>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8</w:t>
            </w:r>
          </w:p>
        </w:tc>
        <w:tc>
          <w:tcPr>
            <w:tcW w:w="4475" w:type="dxa"/>
            <w:noWrap/>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9</w:t>
            </w:r>
          </w:p>
        </w:tc>
        <w:tc>
          <w:tcPr>
            <w:tcW w:w="4475" w:type="dxa"/>
            <w:noWrap/>
            <w:vAlign w:val="center"/>
          </w:tcPr>
          <w:p>
            <w:pPr>
              <w:jc w:val="center"/>
              <w:rPr>
                <w:rFonts w:ascii="宋体" w:hAnsi="宋体" w:cs="宋体"/>
              </w:rPr>
            </w:pPr>
            <w:r>
              <w:rPr>
                <w:rFonts w:hint="eastAsia" w:ascii="宋体" w:hAnsi="宋体" w:cs="宋体"/>
              </w:rPr>
              <w:t>业绩证明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10</w:t>
            </w:r>
          </w:p>
        </w:tc>
        <w:tc>
          <w:tcPr>
            <w:tcW w:w="4475" w:type="dxa"/>
            <w:noWrap/>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11</w:t>
            </w:r>
          </w:p>
        </w:tc>
        <w:tc>
          <w:tcPr>
            <w:tcW w:w="4475" w:type="dxa"/>
            <w:noWrap/>
            <w:vAlign w:val="center"/>
          </w:tcPr>
          <w:p>
            <w:pPr>
              <w:jc w:val="center"/>
              <w:rPr>
                <w:rFonts w:ascii="宋体" w:hAnsi="宋体" w:cs="宋体"/>
              </w:rPr>
            </w:pPr>
            <w:r>
              <w:rPr>
                <w:rFonts w:hint="eastAsia" w:ascii="宋体" w:hAnsi="宋体" w:cs="宋体"/>
              </w:rPr>
              <w:t>无违法违规记录声明</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12</w:t>
            </w:r>
          </w:p>
        </w:tc>
        <w:tc>
          <w:tcPr>
            <w:tcW w:w="4475" w:type="dxa"/>
            <w:noWrap/>
            <w:vAlign w:val="center"/>
          </w:tcPr>
          <w:p>
            <w:pPr>
              <w:jc w:val="center"/>
              <w:rPr>
                <w:rFonts w:ascii="宋体" w:hAnsi="宋体" w:cs="宋体"/>
              </w:rPr>
            </w:pPr>
            <w:r>
              <w:rPr>
                <w:rFonts w:hint="eastAsia" w:ascii="宋体" w:hAnsi="宋体" w:cs="宋体"/>
              </w:rPr>
              <w:t>诚信证明</w:t>
            </w:r>
          </w:p>
        </w:tc>
        <w:tc>
          <w:tcPr>
            <w:tcW w:w="1985" w:type="dxa"/>
            <w:noWrap/>
            <w:vAlign w:val="center"/>
          </w:tcPr>
          <w:p>
            <w:pPr>
              <w:jc w:val="center"/>
              <w:rPr>
                <w:rFonts w:ascii="宋体" w:hAnsi="宋体" w:cs="宋体"/>
              </w:rPr>
            </w:pPr>
            <w:r>
              <w:rPr>
                <w:rFonts w:hint="eastAsia" w:ascii="宋体" w:hAnsi="宋体" w:cs="宋体"/>
              </w:rPr>
              <w:t>网页截图加盖公章</w:t>
            </w:r>
          </w:p>
        </w:tc>
        <w:tc>
          <w:tcPr>
            <w:tcW w:w="1559" w:type="dxa"/>
            <w:noWrap/>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3"/>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3"/>
        <w:rPr>
          <w:rFonts w:ascii="宋体" w:hAnsi="宋体" w:cs="宋体"/>
        </w:rPr>
      </w:pPr>
    </w:p>
    <w:p>
      <w:pPr>
        <w:pStyle w:val="6"/>
        <w:jc w:val="center"/>
        <w:rPr>
          <w:rFonts w:ascii="宋体" w:hAnsi="宋体" w:cs="宋体"/>
          <w:bCs w:val="0"/>
        </w:rPr>
      </w:pPr>
      <w:r>
        <w:rPr>
          <w:rFonts w:hint="eastAsia" w:ascii="宋体" w:hAnsi="宋体" w:cs="宋体"/>
        </w:rPr>
        <w:br w:type="page"/>
      </w:r>
      <w:bookmarkEnd w:id="42"/>
      <w:bookmarkStart w:id="44" w:name="_Hlt26955070"/>
      <w:bookmarkEnd w:id="44"/>
      <w:bookmarkStart w:id="45" w:name="_格式3__银行出具的资信证明"/>
      <w:bookmarkEnd w:id="45"/>
      <w:bookmarkStart w:id="46" w:name="_Hlt26671380"/>
      <w:bookmarkEnd w:id="46"/>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43"/>
      <w:bookmarkStart w:id="47" w:name="_Hlt26955054"/>
      <w:bookmarkEnd w:id="47"/>
      <w:r>
        <w:rPr>
          <w:rFonts w:hint="eastAsia" w:ascii="宋体" w:hAnsi="宋体" w:cs="宋体"/>
          <w:b/>
          <w:sz w:val="32"/>
          <w:szCs w:val="32"/>
        </w:rPr>
        <w:t>六、</w:t>
      </w:r>
      <w:bookmarkStart w:id="48" w:name="_格式2__法定代表人授权书"/>
      <w:bookmarkEnd w:id="48"/>
      <w:bookmarkStart w:id="49" w:name="_Toc23828478"/>
      <w:bookmarkStart w:id="50" w:name="_Toc513029276"/>
      <w:bookmarkStart w:id="51" w:name="_Toc22356580"/>
      <w:bookmarkStart w:id="52" w:name="_Toc26554095"/>
      <w:bookmarkStart w:id="53" w:name="_Toc49090577"/>
      <w:bookmarkStart w:id="54" w:name="_Toc120614283"/>
      <w:bookmarkStart w:id="55" w:name="_Toc460901585"/>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序号</w:t>
            </w:r>
          </w:p>
        </w:tc>
        <w:tc>
          <w:tcPr>
            <w:tcW w:w="2976" w:type="dxa"/>
            <w:noWrap/>
            <w:vAlign w:val="center"/>
          </w:tcPr>
          <w:p>
            <w:pPr>
              <w:pStyle w:val="24"/>
              <w:ind w:left="420"/>
              <w:jc w:val="center"/>
              <w:rPr>
                <w:rFonts w:hAnsi="宋体"/>
                <w:color w:val="auto"/>
              </w:rPr>
            </w:pPr>
            <w:r>
              <w:rPr>
                <w:rFonts w:hint="eastAsia" w:hAnsi="宋体"/>
                <w:color w:val="auto"/>
              </w:rPr>
              <w:t>项目</w:t>
            </w:r>
          </w:p>
        </w:tc>
        <w:tc>
          <w:tcPr>
            <w:tcW w:w="1985" w:type="dxa"/>
            <w:noWrap/>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noWrap/>
            <w:vAlign w:val="center"/>
          </w:tcPr>
          <w:p>
            <w:pPr>
              <w:pStyle w:val="24"/>
              <w:ind w:left="420"/>
              <w:jc w:val="center"/>
              <w:rPr>
                <w:rFonts w:hAnsi="宋体"/>
                <w:color w:val="auto"/>
              </w:rPr>
            </w:pPr>
            <w:r>
              <w:rPr>
                <w:rFonts w:hint="eastAsia" w:hAnsi="宋体"/>
                <w:color w:val="auto"/>
              </w:rPr>
              <w:t>投标供应商的承诺或说明</w:t>
            </w:r>
          </w:p>
        </w:tc>
        <w:tc>
          <w:tcPr>
            <w:tcW w:w="1687" w:type="dxa"/>
            <w:noWrap/>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1</w:t>
            </w:r>
          </w:p>
        </w:tc>
        <w:tc>
          <w:tcPr>
            <w:tcW w:w="2976" w:type="dxa"/>
            <w:noWrap/>
            <w:vAlign w:val="center"/>
          </w:tcPr>
          <w:p>
            <w:pPr>
              <w:pStyle w:val="24"/>
              <w:ind w:left="420"/>
              <w:jc w:val="center"/>
              <w:rPr>
                <w:rFonts w:hAnsi="宋体"/>
                <w:color w:val="auto"/>
              </w:rPr>
            </w:pPr>
            <w:r>
              <w:rPr>
                <w:rFonts w:hint="eastAsia" w:hAnsi="宋体"/>
                <w:color w:val="auto"/>
              </w:rPr>
              <w:t>质保期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2</w:t>
            </w:r>
          </w:p>
        </w:tc>
        <w:tc>
          <w:tcPr>
            <w:tcW w:w="2976" w:type="dxa"/>
            <w:noWrap/>
            <w:vAlign w:val="center"/>
          </w:tcPr>
          <w:p>
            <w:pPr>
              <w:pStyle w:val="24"/>
              <w:ind w:left="420"/>
              <w:jc w:val="center"/>
              <w:rPr>
                <w:rFonts w:hAnsi="宋体"/>
                <w:color w:val="auto"/>
              </w:rPr>
            </w:pPr>
            <w:r>
              <w:rPr>
                <w:rFonts w:hint="eastAsia" w:hAnsi="宋体"/>
                <w:color w:val="auto"/>
              </w:rPr>
              <w:t>售后技术服务要求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3</w:t>
            </w:r>
          </w:p>
        </w:tc>
        <w:tc>
          <w:tcPr>
            <w:tcW w:w="2976" w:type="dxa"/>
            <w:noWrap/>
            <w:vAlign w:val="center"/>
          </w:tcPr>
          <w:p>
            <w:pPr>
              <w:pStyle w:val="24"/>
              <w:ind w:left="420"/>
              <w:jc w:val="center"/>
              <w:rPr>
                <w:rFonts w:hAnsi="宋体"/>
                <w:color w:val="auto"/>
              </w:rPr>
            </w:pPr>
            <w:r>
              <w:rPr>
                <w:rFonts w:hint="eastAsia" w:hAnsi="宋体"/>
                <w:color w:val="auto"/>
              </w:rPr>
              <w:t>供货期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4</w:t>
            </w:r>
          </w:p>
        </w:tc>
        <w:tc>
          <w:tcPr>
            <w:tcW w:w="2976" w:type="dxa"/>
            <w:noWrap/>
            <w:vAlign w:val="center"/>
          </w:tcPr>
          <w:p>
            <w:pPr>
              <w:pStyle w:val="24"/>
              <w:ind w:left="420"/>
              <w:jc w:val="center"/>
              <w:rPr>
                <w:rFonts w:hAnsi="宋体"/>
                <w:color w:val="auto"/>
              </w:rPr>
            </w:pPr>
            <w:r>
              <w:rPr>
                <w:rFonts w:hint="eastAsia" w:hAnsi="宋体"/>
                <w:color w:val="auto"/>
              </w:rPr>
              <w:t>交货方式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5</w:t>
            </w:r>
          </w:p>
        </w:tc>
        <w:tc>
          <w:tcPr>
            <w:tcW w:w="2976" w:type="dxa"/>
            <w:noWrap/>
            <w:vAlign w:val="center"/>
          </w:tcPr>
          <w:p>
            <w:pPr>
              <w:pStyle w:val="24"/>
              <w:ind w:left="420"/>
              <w:jc w:val="center"/>
              <w:rPr>
                <w:rFonts w:hAnsi="宋体"/>
                <w:color w:val="auto"/>
              </w:rPr>
            </w:pPr>
            <w:r>
              <w:rPr>
                <w:rFonts w:hint="eastAsia" w:hAnsi="宋体"/>
                <w:color w:val="auto"/>
              </w:rPr>
              <w:t>付款方式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6</w:t>
            </w:r>
          </w:p>
        </w:tc>
        <w:tc>
          <w:tcPr>
            <w:tcW w:w="2976" w:type="dxa"/>
            <w:noWrap/>
            <w:vAlign w:val="center"/>
          </w:tcPr>
          <w:p>
            <w:pPr>
              <w:pStyle w:val="24"/>
              <w:ind w:left="420"/>
              <w:jc w:val="center"/>
              <w:rPr>
                <w:rFonts w:hAnsi="宋体"/>
                <w:color w:val="auto"/>
              </w:rPr>
            </w:pPr>
            <w:r>
              <w:rPr>
                <w:rFonts w:hint="eastAsia" w:hAnsi="宋体"/>
                <w:color w:val="auto"/>
              </w:rPr>
              <w:t>投标货币</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7</w:t>
            </w:r>
          </w:p>
        </w:tc>
        <w:tc>
          <w:tcPr>
            <w:tcW w:w="2976" w:type="dxa"/>
            <w:noWrap/>
            <w:vAlign w:val="center"/>
          </w:tcPr>
          <w:p>
            <w:pPr>
              <w:pStyle w:val="24"/>
              <w:ind w:left="420"/>
              <w:jc w:val="center"/>
              <w:rPr>
                <w:rFonts w:hAnsi="宋体"/>
                <w:color w:val="auto"/>
              </w:rPr>
            </w:pPr>
            <w:r>
              <w:rPr>
                <w:rFonts w:hint="eastAsia" w:hAnsi="宋体"/>
                <w:color w:val="auto"/>
              </w:rPr>
              <w:t>备品备件及耗材等要求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8</w:t>
            </w:r>
          </w:p>
        </w:tc>
        <w:tc>
          <w:tcPr>
            <w:tcW w:w="2976" w:type="dxa"/>
            <w:noWrap/>
            <w:vAlign w:val="center"/>
          </w:tcPr>
          <w:p>
            <w:pPr>
              <w:pStyle w:val="24"/>
              <w:ind w:left="420"/>
              <w:jc w:val="center"/>
              <w:rPr>
                <w:rFonts w:hAnsi="宋体"/>
                <w:color w:val="auto"/>
              </w:rPr>
            </w:pPr>
            <w:r>
              <w:rPr>
                <w:rFonts w:hint="eastAsia" w:hAnsi="宋体"/>
                <w:color w:val="auto"/>
              </w:rPr>
              <w:t>培训方式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p>
        </w:tc>
        <w:tc>
          <w:tcPr>
            <w:tcW w:w="2976" w:type="dxa"/>
            <w:noWrap/>
            <w:vAlign w:val="center"/>
          </w:tcPr>
          <w:p>
            <w:pPr>
              <w:pStyle w:val="24"/>
              <w:ind w:left="420"/>
              <w:jc w:val="center"/>
              <w:rPr>
                <w:rFonts w:hAnsi="宋体"/>
                <w:color w:val="auto"/>
              </w:rPr>
            </w:pP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6" w:name="_Hlt26955041"/>
      <w:bookmarkEnd w:id="56"/>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pStyle w:val="2"/>
      </w:pPr>
    </w:p>
    <w:p/>
    <w:p>
      <w:pPr>
        <w:pStyle w:val="2"/>
      </w:pPr>
    </w:p>
    <w:p/>
    <w:p>
      <w:pPr>
        <w:pStyle w:val="2"/>
      </w:pPr>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27</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i/>
      </w:rPr>
    </w:pPr>
    <w:r>
      <w:rPr>
        <w:sz w:val="20"/>
      </w:rP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27</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DFE60"/>
    <w:multiLevelType w:val="singleLevel"/>
    <w:tmpl w:val="58DDFE60"/>
    <w:lvl w:ilvl="0" w:tentative="0">
      <w:start w:val="1"/>
      <w:numFmt w:val="chineseCounting"/>
      <w:suff w:val="nothing"/>
      <w:lvlText w:val="%1、"/>
      <w:lvlJc w:val="left"/>
    </w:lvl>
  </w:abstractNum>
  <w:abstractNum w:abstractNumId="1">
    <w:nsid w:val="5F1D355D"/>
    <w:multiLevelType w:val="multilevel"/>
    <w:tmpl w:val="5F1D355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E804FD"/>
    <w:rsid w:val="00024AC8"/>
    <w:rsid w:val="000555CC"/>
    <w:rsid w:val="0006653B"/>
    <w:rsid w:val="00081B8C"/>
    <w:rsid w:val="001352EF"/>
    <w:rsid w:val="001825DA"/>
    <w:rsid w:val="00197F80"/>
    <w:rsid w:val="001B3DB1"/>
    <w:rsid w:val="00296E7E"/>
    <w:rsid w:val="002A53EF"/>
    <w:rsid w:val="002B225B"/>
    <w:rsid w:val="002B7773"/>
    <w:rsid w:val="002C5DBB"/>
    <w:rsid w:val="00344427"/>
    <w:rsid w:val="00390062"/>
    <w:rsid w:val="003A30C4"/>
    <w:rsid w:val="003A4327"/>
    <w:rsid w:val="003C4C2E"/>
    <w:rsid w:val="003F2394"/>
    <w:rsid w:val="00425E4E"/>
    <w:rsid w:val="004657A1"/>
    <w:rsid w:val="00484556"/>
    <w:rsid w:val="00485976"/>
    <w:rsid w:val="00504BDD"/>
    <w:rsid w:val="005210CB"/>
    <w:rsid w:val="00592FFD"/>
    <w:rsid w:val="00596A30"/>
    <w:rsid w:val="005F0402"/>
    <w:rsid w:val="0061727D"/>
    <w:rsid w:val="00620EE9"/>
    <w:rsid w:val="00621609"/>
    <w:rsid w:val="00634E83"/>
    <w:rsid w:val="00634F26"/>
    <w:rsid w:val="0063794D"/>
    <w:rsid w:val="00650313"/>
    <w:rsid w:val="00686A77"/>
    <w:rsid w:val="006D197C"/>
    <w:rsid w:val="006D2BF1"/>
    <w:rsid w:val="006D6B06"/>
    <w:rsid w:val="006E53BE"/>
    <w:rsid w:val="006F519C"/>
    <w:rsid w:val="00711B04"/>
    <w:rsid w:val="0072421F"/>
    <w:rsid w:val="00744EED"/>
    <w:rsid w:val="007569CB"/>
    <w:rsid w:val="00784753"/>
    <w:rsid w:val="007939C7"/>
    <w:rsid w:val="007A3014"/>
    <w:rsid w:val="007C25AE"/>
    <w:rsid w:val="007C326F"/>
    <w:rsid w:val="007E5E1B"/>
    <w:rsid w:val="00817E26"/>
    <w:rsid w:val="00837BBF"/>
    <w:rsid w:val="008738BB"/>
    <w:rsid w:val="0089265D"/>
    <w:rsid w:val="008A6747"/>
    <w:rsid w:val="008B6E12"/>
    <w:rsid w:val="008E03D8"/>
    <w:rsid w:val="00911CE5"/>
    <w:rsid w:val="00965A62"/>
    <w:rsid w:val="00995747"/>
    <w:rsid w:val="009B0AB2"/>
    <w:rsid w:val="009B1BDA"/>
    <w:rsid w:val="009C20E4"/>
    <w:rsid w:val="009C4AE2"/>
    <w:rsid w:val="00A02330"/>
    <w:rsid w:val="00A217AE"/>
    <w:rsid w:val="00A56B30"/>
    <w:rsid w:val="00A71788"/>
    <w:rsid w:val="00A8434F"/>
    <w:rsid w:val="00AA3681"/>
    <w:rsid w:val="00AC58C5"/>
    <w:rsid w:val="00AE7A06"/>
    <w:rsid w:val="00AF651C"/>
    <w:rsid w:val="00B20B1A"/>
    <w:rsid w:val="00B23568"/>
    <w:rsid w:val="00B351B6"/>
    <w:rsid w:val="00B36BAA"/>
    <w:rsid w:val="00B61291"/>
    <w:rsid w:val="00B65215"/>
    <w:rsid w:val="00B73A5E"/>
    <w:rsid w:val="00B77857"/>
    <w:rsid w:val="00B84E2A"/>
    <w:rsid w:val="00BB2A6C"/>
    <w:rsid w:val="00BC0DB8"/>
    <w:rsid w:val="00BD17FB"/>
    <w:rsid w:val="00BF7422"/>
    <w:rsid w:val="00C04BDD"/>
    <w:rsid w:val="00C512AE"/>
    <w:rsid w:val="00CA01C1"/>
    <w:rsid w:val="00CB0672"/>
    <w:rsid w:val="00D12BF3"/>
    <w:rsid w:val="00D310DA"/>
    <w:rsid w:val="00D32584"/>
    <w:rsid w:val="00D7604A"/>
    <w:rsid w:val="00D81DD0"/>
    <w:rsid w:val="00E13D0F"/>
    <w:rsid w:val="00E61148"/>
    <w:rsid w:val="00E729A8"/>
    <w:rsid w:val="00E7335E"/>
    <w:rsid w:val="00EA2398"/>
    <w:rsid w:val="00EA384D"/>
    <w:rsid w:val="00EA65C5"/>
    <w:rsid w:val="00F028C2"/>
    <w:rsid w:val="00F3676B"/>
    <w:rsid w:val="00F46D16"/>
    <w:rsid w:val="00F80723"/>
    <w:rsid w:val="00FA1C9E"/>
    <w:rsid w:val="00FD1E57"/>
    <w:rsid w:val="00FE44C8"/>
    <w:rsid w:val="01295CEB"/>
    <w:rsid w:val="01FD0F1A"/>
    <w:rsid w:val="0366499F"/>
    <w:rsid w:val="0417416B"/>
    <w:rsid w:val="060D3C6E"/>
    <w:rsid w:val="066A261C"/>
    <w:rsid w:val="0B18397C"/>
    <w:rsid w:val="0E164C31"/>
    <w:rsid w:val="0F4B5B2D"/>
    <w:rsid w:val="13F9637C"/>
    <w:rsid w:val="149D4767"/>
    <w:rsid w:val="16367209"/>
    <w:rsid w:val="17683D90"/>
    <w:rsid w:val="19935D99"/>
    <w:rsid w:val="1A0D38BA"/>
    <w:rsid w:val="1E08754E"/>
    <w:rsid w:val="201147EB"/>
    <w:rsid w:val="21471482"/>
    <w:rsid w:val="217F1F68"/>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35F386E"/>
    <w:rsid w:val="35467EF4"/>
    <w:rsid w:val="358B76AD"/>
    <w:rsid w:val="35DD2AF4"/>
    <w:rsid w:val="35E43000"/>
    <w:rsid w:val="37E45D87"/>
    <w:rsid w:val="38CF0C3A"/>
    <w:rsid w:val="38D27B8B"/>
    <w:rsid w:val="395317F8"/>
    <w:rsid w:val="3A366CD4"/>
    <w:rsid w:val="3BF76BED"/>
    <w:rsid w:val="3D16713D"/>
    <w:rsid w:val="3DED6081"/>
    <w:rsid w:val="3DEF12B0"/>
    <w:rsid w:val="3E00511D"/>
    <w:rsid w:val="3E091FAA"/>
    <w:rsid w:val="3F6F6087"/>
    <w:rsid w:val="40A82832"/>
    <w:rsid w:val="414D2DF2"/>
    <w:rsid w:val="41FB31EE"/>
    <w:rsid w:val="42AD3BF3"/>
    <w:rsid w:val="42C8303A"/>
    <w:rsid w:val="446F0737"/>
    <w:rsid w:val="472D0B65"/>
    <w:rsid w:val="477256CE"/>
    <w:rsid w:val="480B4988"/>
    <w:rsid w:val="4B727DBA"/>
    <w:rsid w:val="4B73395D"/>
    <w:rsid w:val="4C913D80"/>
    <w:rsid w:val="4C940E7B"/>
    <w:rsid w:val="50456F26"/>
    <w:rsid w:val="51391DA4"/>
    <w:rsid w:val="51F401C6"/>
    <w:rsid w:val="550C3B25"/>
    <w:rsid w:val="5563541B"/>
    <w:rsid w:val="568E063D"/>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CB0CF1"/>
    <w:rsid w:val="6608084A"/>
    <w:rsid w:val="6B237186"/>
    <w:rsid w:val="6B5F326E"/>
    <w:rsid w:val="6BB425F0"/>
    <w:rsid w:val="6BD03F53"/>
    <w:rsid w:val="6C3935A3"/>
    <w:rsid w:val="6C670B11"/>
    <w:rsid w:val="6C953E71"/>
    <w:rsid w:val="6CA95F52"/>
    <w:rsid w:val="6E9834CC"/>
    <w:rsid w:val="6FF05E4C"/>
    <w:rsid w:val="72134684"/>
    <w:rsid w:val="72D00A3D"/>
    <w:rsid w:val="738C36DB"/>
    <w:rsid w:val="741B560A"/>
    <w:rsid w:val="750655E5"/>
    <w:rsid w:val="75100210"/>
    <w:rsid w:val="75344604"/>
    <w:rsid w:val="75CF21D1"/>
    <w:rsid w:val="76851909"/>
    <w:rsid w:val="77775173"/>
    <w:rsid w:val="78F82538"/>
    <w:rsid w:val="79573FDE"/>
    <w:rsid w:val="79A6405B"/>
    <w:rsid w:val="7A8E290D"/>
    <w:rsid w:val="7C3E11C7"/>
    <w:rsid w:val="7CD50B6F"/>
    <w:rsid w:val="7D802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szCs w:val="24"/>
    </w:rPr>
  </w:style>
  <w:style w:type="paragraph" w:styleId="5">
    <w:name w:val="Normal Indent"/>
    <w:basedOn w:val="1"/>
    <w:qFormat/>
    <w:uiPriority w:val="0"/>
    <w:pPr>
      <w:ind w:firstLine="420"/>
    </w:pPr>
  </w:style>
  <w:style w:type="paragraph" w:styleId="7">
    <w:name w:val="Body Text"/>
    <w:basedOn w:val="1"/>
    <w:qFormat/>
    <w:uiPriority w:val="0"/>
    <w:rPr>
      <w:rFonts w:ascii="宋体"/>
      <w:sz w:val="28"/>
    </w:rPr>
  </w:style>
  <w:style w:type="paragraph" w:styleId="8">
    <w:name w:val="Body Text Indent"/>
    <w:basedOn w:val="1"/>
    <w:unhideWhenUsed/>
    <w:qFormat/>
    <w:uiPriority w:val="99"/>
    <w:pPr>
      <w:spacing w:after="120"/>
      <w:ind w:left="420" w:leftChars="200"/>
    </w:pPr>
  </w:style>
  <w:style w:type="paragraph" w:styleId="9">
    <w:name w:val="Block Text"/>
    <w:basedOn w:val="1"/>
    <w:qFormat/>
    <w:uiPriority w:val="0"/>
    <w:pPr>
      <w:spacing w:after="120"/>
      <w:ind w:left="1440" w:leftChars="700" w:right="1440" w:rightChars="700"/>
    </w:pPr>
    <w:rPr>
      <w:rFonts w:asciiTheme="minorHAnsi" w:hAnsiTheme="minorHAnsi" w:eastAsiaTheme="minorEastAsia" w:cstheme="minorBidi"/>
      <w:szCs w:val="22"/>
    </w:rPr>
  </w:style>
  <w:style w:type="paragraph" w:styleId="10">
    <w:name w:val="Plain Text"/>
    <w:basedOn w:val="1"/>
    <w:link w:val="30"/>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7"/>
    <w:qFormat/>
    <w:uiPriority w:val="0"/>
    <w:pPr>
      <w:ind w:firstLine="420" w:firstLineChars="100"/>
    </w:pPr>
  </w:style>
  <w:style w:type="paragraph" w:styleId="15">
    <w:name w:val="Body Text First Indent 2"/>
    <w:basedOn w:val="8"/>
    <w:qFormat/>
    <w:uiPriority w:val="0"/>
    <w:pPr>
      <w:ind w:firstLine="420"/>
    </w:p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列出段落1"/>
    <w:basedOn w:val="1"/>
    <w:qFormat/>
    <w:uiPriority w:val="99"/>
    <w:pPr>
      <w:ind w:left="200" w:leftChars="200"/>
      <w:jc w:val="left"/>
    </w:pPr>
    <w:rPr>
      <w:rFonts w:ascii="Calibri" w:hAnsi="Calibri" w:eastAsia="PMingLiU" w:cs="宋体"/>
      <w:sz w:val="24"/>
      <w:szCs w:val="22"/>
      <w:lang w:eastAsia="zh-TW"/>
    </w:rPr>
  </w:style>
  <w:style w:type="paragraph" w:customStyle="1" w:styleId="22">
    <w:name w:val="pa-0"/>
    <w:basedOn w:val="1"/>
    <w:qFormat/>
    <w:uiPriority w:val="99"/>
    <w:pPr>
      <w:widowControl/>
      <w:spacing w:before="150" w:after="150"/>
      <w:jc w:val="left"/>
    </w:pPr>
    <w:rPr>
      <w:rFonts w:ascii="宋体" w:hAnsi="宋体" w:cs="宋体"/>
      <w:kern w:val="0"/>
      <w:sz w:val="24"/>
      <w:szCs w:val="24"/>
    </w:rPr>
  </w:style>
  <w:style w:type="paragraph" w:customStyle="1" w:styleId="23">
    <w:name w:val="Char"/>
    <w:basedOn w:val="1"/>
    <w:qFormat/>
    <w:uiPriority w:val="0"/>
    <w:pPr>
      <w:tabs>
        <w:tab w:val="left" w:pos="360"/>
      </w:tabs>
    </w:pPr>
    <w:rPr>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表段落"/>
    <w:basedOn w:val="1"/>
    <w:qFormat/>
    <w:uiPriority w:val="34"/>
    <w:pPr>
      <w:ind w:firstLine="420" w:firstLineChars="200"/>
    </w:pPr>
    <w:rPr>
      <w:rFonts w:ascii="Calibri" w:hAnsi="Calibri"/>
      <w:szCs w:val="22"/>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styleId="27">
    <w:name w:val="List Paragraph"/>
    <w:basedOn w:val="1"/>
    <w:unhideWhenUsed/>
    <w:qFormat/>
    <w:uiPriority w:val="34"/>
    <w:pPr>
      <w:ind w:firstLine="420" w:firstLineChars="200"/>
    </w:pPr>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zh-TW" w:eastAsia="zh-TW" w:bidi="ar-SA"/>
    </w:rPr>
  </w:style>
  <w:style w:type="paragraph" w:customStyle="1" w:styleId="29">
    <w:name w:val="正文 A A"/>
    <w:qFormat/>
    <w:uiPriority w:val="99"/>
    <w:pPr>
      <w:widowControl w:val="0"/>
      <w:pBdr>
        <w:top w:val="none" w:color="FFFFFF" w:sz="0" w:space="31"/>
        <w:left w:val="none" w:color="FFFFFF" w:sz="0" w:space="31"/>
        <w:bottom w:val="none" w:color="FFFFFF" w:sz="0" w:space="31"/>
        <w:right w:val="none" w:color="FFFFFF" w:sz="0" w:space="31"/>
      </w:pBdr>
      <w:spacing w:line="360" w:lineRule="auto"/>
      <w:ind w:firstLine="200"/>
      <w:jc w:val="both"/>
    </w:pPr>
    <w:rPr>
      <w:rFonts w:ascii="Arial Unicode MS" w:hAnsi="Arial Unicode MS" w:eastAsia="Arial Unicode MS" w:cs="Arial Unicode MS"/>
      <w:color w:val="000000"/>
      <w:kern w:val="2"/>
      <w:sz w:val="24"/>
      <w:szCs w:val="24"/>
      <w:u w:color="000000"/>
      <w:lang w:val="en-US" w:eastAsia="zh-CN" w:bidi="ar-SA"/>
    </w:rPr>
  </w:style>
  <w:style w:type="character" w:customStyle="1" w:styleId="30">
    <w:name w:val="纯文本 Char"/>
    <w:basedOn w:val="18"/>
    <w:link w:val="10"/>
    <w:qFormat/>
    <w:locked/>
    <w:uiPriority w:val="99"/>
    <w:rPr>
      <w:rFonts w:ascii="宋体" w:hAnsi="Courier New" w:cs="Courier New"/>
      <w:kern w:val="2"/>
      <w:sz w:val="21"/>
      <w:szCs w:val="21"/>
    </w:rPr>
  </w:style>
  <w:style w:type="character" w:customStyle="1" w:styleId="31">
    <w:name w:val="标准文本 Char"/>
    <w:link w:val="32"/>
    <w:qFormat/>
    <w:locked/>
    <w:uiPriority w:val="0"/>
    <w:rPr>
      <w:rFonts w:ascii="宋体" w:hAnsi="宋体" w:cs="宋体"/>
      <w:szCs w:val="21"/>
    </w:rPr>
  </w:style>
  <w:style w:type="paragraph" w:customStyle="1" w:styleId="32">
    <w:name w:val="标准文本"/>
    <w:basedOn w:val="1"/>
    <w:link w:val="31"/>
    <w:qFormat/>
    <w:uiPriority w:val="0"/>
    <w:pPr>
      <w:spacing w:line="300" w:lineRule="auto"/>
      <w:ind w:firstLine="420" w:firstLineChars="200"/>
    </w:pPr>
    <w:rPr>
      <w:rFonts w:ascii="宋体" w:hAnsi="宋体" w:cs="宋体"/>
      <w:kern w:val="0"/>
      <w:sz w:val="20"/>
    </w:rPr>
  </w:style>
  <w:style w:type="paragraph" w:customStyle="1" w:styleId="33">
    <w:name w:val="无间隔1"/>
    <w:basedOn w:val="1"/>
    <w:qFormat/>
    <w:uiPriority w:val="1"/>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2470</Words>
  <Characters>14079</Characters>
  <Lines>117</Lines>
  <Paragraphs>33</Paragraphs>
  <TotalTime>28</TotalTime>
  <ScaleCrop>false</ScaleCrop>
  <LinksUpToDate>false</LinksUpToDate>
  <CharactersWithSpaces>16516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2021-05-27T04:53:35Z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