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南京邮电大学通达学院电动液压篮球架采购项目</w:t>
      </w:r>
    </w:p>
    <w:p>
      <w:pPr>
        <w:pStyle w:val="28"/>
        <w:spacing w:before="0" w:after="0"/>
        <w:ind w:firstLine="0"/>
        <w:rPr>
          <w:rFonts w:ascii="宋体" w:hAnsi="宋体" w:cs="宋体"/>
        </w:rPr>
      </w:pPr>
    </w:p>
    <w:p>
      <w:pPr>
        <w:pStyle w:val="28"/>
        <w:ind w:firstLine="0"/>
        <w:jc w:val="center"/>
        <w:rPr>
          <w:rFonts w:ascii="宋体" w:hAnsi="宋体" w:cs="宋体"/>
          <w:b/>
          <w:bCs/>
          <w:sz w:val="84"/>
        </w:rPr>
      </w:pPr>
    </w:p>
    <w:p>
      <w:pPr>
        <w:pStyle w:val="28"/>
        <w:ind w:firstLine="0"/>
        <w:jc w:val="center"/>
        <w:rPr>
          <w:rFonts w:ascii="宋体" w:hAnsi="宋体" w:cs="宋体"/>
          <w:b/>
          <w:bCs/>
          <w:sz w:val="84"/>
        </w:rPr>
      </w:pPr>
    </w:p>
    <w:p>
      <w:pPr>
        <w:pStyle w:val="28"/>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20</w:t>
      </w:r>
    </w:p>
    <w:p>
      <w:pPr>
        <w:pStyle w:val="28"/>
        <w:ind w:firstLine="0"/>
        <w:jc w:val="center"/>
        <w:rPr>
          <w:rFonts w:ascii="宋体" w:hAnsi="宋体" w:cs="宋体"/>
          <w:b/>
          <w:sz w:val="36"/>
          <w:szCs w:val="36"/>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rPr>
          <w:rFonts w:ascii="宋体" w:hAnsi="宋体" w:cs="宋体"/>
        </w:rPr>
      </w:pPr>
    </w:p>
    <w:p>
      <w:pPr>
        <w:pStyle w:val="28"/>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8"/>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10</w:t>
      </w:r>
      <w:r>
        <w:rPr>
          <w:rFonts w:hint="eastAsia" w:ascii="宋体" w:hAnsi="宋体" w:cs="宋体"/>
          <w:b/>
          <w:sz w:val="30"/>
          <w:szCs w:val="30"/>
        </w:rPr>
        <w:t>月</w:t>
      </w:r>
    </w:p>
    <w:p>
      <w:pPr>
        <w:pStyle w:val="28"/>
        <w:ind w:firstLine="0"/>
        <w:jc w:val="center"/>
        <w:rPr>
          <w:rFonts w:ascii="宋体" w:hAnsi="宋体" w:cs="宋体"/>
          <w:b/>
          <w:bCs/>
          <w:sz w:val="32"/>
        </w:rPr>
      </w:pPr>
    </w:p>
    <w:p>
      <w:pPr>
        <w:pStyle w:val="28"/>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513029200"/>
      <w:bookmarkStart w:id="2" w:name="_Toc20823272"/>
      <w:bookmarkStart w:id="3" w:name="_Toc16938516"/>
      <w:bookmarkStart w:id="4" w:name="_Toc523127445"/>
      <w:bookmarkStart w:id="5" w:name="_Toc47975720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footerReference r:id="rId3" w:type="default"/>
          <w:pgSz w:w="11907" w:h="16840"/>
          <w:pgMar w:top="1440" w:right="1080" w:bottom="1440" w:left="1080" w:header="851" w:footer="992" w:gutter="0"/>
          <w:pgNumType w:fmt="decimal" w:start="1"/>
          <w:cols w:space="720" w:num="1"/>
        </w:sectPr>
      </w:pPr>
    </w:p>
    <w:p>
      <w:pPr>
        <w:pStyle w:val="9"/>
        <w:ind w:firstLine="883"/>
        <w:jc w:val="center"/>
        <w:rPr>
          <w:rFonts w:cs="Times New Roman"/>
          <w:b/>
          <w:sz w:val="44"/>
          <w:szCs w:val="44"/>
        </w:rPr>
      </w:pPr>
      <w:r>
        <w:rPr>
          <w:rFonts w:hint="eastAsia"/>
          <w:b/>
          <w:sz w:val="44"/>
          <w:szCs w:val="44"/>
        </w:rPr>
        <w:t>第一章  采购公告</w:t>
      </w:r>
    </w:p>
    <w:p>
      <w:pPr>
        <w:pStyle w:val="13"/>
        <w:shd w:val="clear" w:color="auto" w:fill="FFFFFF"/>
        <w:spacing w:before="0" w:beforeAutospacing="0" w:after="0" w:afterAutospacing="0"/>
        <w:ind w:firstLine="420"/>
      </w:pPr>
      <w:r>
        <w:rPr>
          <w:rFonts w:hint="eastAsia"/>
        </w:rPr>
        <w:t>根据国家招投标的法律法规和南京邮电大学的相关规定，现对南京邮电大学通达学院电动液压篮球架采购项目进行公开招标采购，欢迎符合本次招标采购要求的企业参加投标。</w:t>
      </w:r>
    </w:p>
    <w:p>
      <w:pPr>
        <w:pStyle w:val="13"/>
        <w:shd w:val="clear" w:color="auto" w:fill="FFFFFF"/>
        <w:spacing w:before="0" w:beforeAutospacing="0" w:after="0" w:afterAutospacing="0"/>
        <w:ind w:firstLine="663" w:firstLineChars="275"/>
      </w:pPr>
      <w:r>
        <w:rPr>
          <w:rFonts w:hint="eastAsia"/>
          <w:b/>
        </w:rPr>
        <w:t>一、采购项目名称编号及预算：</w:t>
      </w:r>
      <w:r>
        <w:rPr>
          <w:rFonts w:hint="eastAsia"/>
        </w:rPr>
        <w:t>南京邮电大学通达学院电动液压篮球架采购项目（项目编号TDHQ2020</w:t>
      </w:r>
      <w:r>
        <w:rPr>
          <w:rFonts w:hint="eastAsia"/>
          <w:lang w:val="en-US" w:eastAsia="zh-CN"/>
        </w:rPr>
        <w:t>020</w:t>
      </w:r>
      <w:r>
        <w:rPr>
          <w:rFonts w:hint="eastAsia"/>
        </w:rPr>
        <w:t>），预算为19.5万。</w:t>
      </w:r>
    </w:p>
    <w:p>
      <w:pPr>
        <w:pStyle w:val="13"/>
        <w:shd w:val="clear" w:color="auto" w:fill="FFFFFF"/>
        <w:spacing w:before="0" w:beforeAutospacing="0" w:after="0" w:afterAutospacing="0"/>
        <w:ind w:firstLine="602" w:firstLineChars="250"/>
      </w:pPr>
      <w:r>
        <w:rPr>
          <w:rFonts w:hint="eastAsia"/>
          <w:b/>
        </w:rPr>
        <w:t>二、采购项目简要说明：</w:t>
      </w:r>
      <w:r>
        <w:rPr>
          <w:rFonts w:hint="eastAsia"/>
        </w:rPr>
        <w:t>1.南京邮电大学通达学院拟采购电动液压篮球架一批（具体要求参见采购文件）。2.项目地点：扬州市润扬南路33号。3.技术条款咨询联系人：黄老师 ，联系电话：</w:t>
      </w:r>
      <w:r>
        <w:rPr>
          <w:rFonts w:hint="eastAsia"/>
          <w:sz w:val="21"/>
          <w:szCs w:val="21"/>
          <w:lang w:val="en-US" w:eastAsia="zh-CN"/>
        </w:rPr>
        <w:t>18957801892</w:t>
      </w:r>
      <w:r>
        <w:rPr>
          <w:rFonts w:hint="eastAsia"/>
        </w:rPr>
        <w:t>。（注：如不咨询，视为已理解该技术指标。）</w:t>
      </w:r>
    </w:p>
    <w:p>
      <w:pPr>
        <w:pStyle w:val="13"/>
        <w:shd w:val="clear" w:color="auto" w:fill="FFFFFF"/>
        <w:spacing w:before="0" w:beforeAutospacing="0" w:after="0" w:afterAutospacing="0"/>
        <w:ind w:firstLine="602" w:firstLineChars="250"/>
        <w:rPr>
          <w:b/>
        </w:rPr>
      </w:pPr>
      <w:r>
        <w:rPr>
          <w:rFonts w:hint="eastAsia"/>
          <w:b/>
        </w:rPr>
        <w:t>三、投标人资质要求：</w:t>
      </w:r>
    </w:p>
    <w:p>
      <w:pPr>
        <w:pStyle w:val="13"/>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pPr>
        <w:pStyle w:val="13"/>
        <w:shd w:val="clear" w:color="auto" w:fill="FFFFFF"/>
        <w:spacing w:before="0" w:beforeAutospacing="0" w:after="0" w:afterAutospacing="0"/>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3"/>
        <w:shd w:val="clear" w:color="auto" w:fill="FFFFFF"/>
        <w:spacing w:before="0" w:beforeAutospacing="0" w:after="0" w:afterAutospacing="0"/>
        <w:ind w:firstLine="523" w:firstLineChars="218"/>
      </w:pPr>
      <w:r>
        <w:rPr>
          <w:rFonts w:hint="eastAsia" w:cs="Times New Roman"/>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pPr>
        <w:pStyle w:val="13"/>
        <w:shd w:val="clear" w:color="auto" w:fill="FFFFFF"/>
        <w:spacing w:before="0" w:beforeAutospacing="0" w:after="0" w:afterAutospacing="0"/>
        <w:ind w:firstLine="523" w:firstLineChars="218"/>
        <w:rPr>
          <w:bCs/>
        </w:rPr>
      </w:pPr>
      <w:r>
        <w:rPr>
          <w:rFonts w:hint="eastAsia"/>
        </w:rPr>
        <w:t>4、</w:t>
      </w:r>
      <w:r>
        <w:rPr>
          <w:rFonts w:hint="eastAsia"/>
          <w:bCs/>
        </w:rPr>
        <w:t>投标人须提供</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3"/>
        <w:shd w:val="clear" w:color="auto" w:fill="FFFFFF"/>
        <w:spacing w:before="0" w:beforeAutospacing="0" w:after="0" w:afterAutospacing="0"/>
        <w:ind w:firstLine="480" w:firstLineChars="200"/>
      </w:pPr>
      <w:r>
        <w:rPr>
          <w:rFonts w:hint="eastAsia"/>
          <w:lang w:val="en-US" w:eastAsia="zh-CN"/>
        </w:rPr>
        <w:t>5</w:t>
      </w:r>
      <w:r>
        <w:rPr>
          <w:rFonts w:hint="eastAsia"/>
        </w:rPr>
        <w:t>、本项目不接受联合体投标。</w:t>
      </w:r>
    </w:p>
    <w:p>
      <w:pPr>
        <w:pStyle w:val="13"/>
        <w:shd w:val="clear" w:color="auto" w:fill="FFFFFF"/>
        <w:spacing w:before="0" w:beforeAutospacing="0" w:after="0" w:afterAutospacing="0"/>
        <w:ind w:firstLine="482" w:firstLineChars="200"/>
      </w:pPr>
      <w:r>
        <w:rPr>
          <w:rFonts w:hint="eastAsia"/>
          <w:b/>
          <w:bCs/>
        </w:rPr>
        <w:t>四、</w:t>
      </w:r>
      <w:r>
        <w:rPr>
          <w:rFonts w:hint="eastAsia"/>
          <w:b/>
        </w:rPr>
        <w:t>采购文件发布信息：</w:t>
      </w:r>
      <w:r>
        <w:rPr>
          <w:rFonts w:hint="eastAsia"/>
        </w:rPr>
        <w:t>采购文件发布时间：自采购公告在“南京邮电大学”</w:t>
      </w:r>
      <w:r>
        <w:rPr>
          <w:rFonts w:hint="eastAsia"/>
          <w:lang w:eastAsia="zh-CN"/>
        </w:rPr>
        <w:t>及</w:t>
      </w:r>
      <w:r>
        <w:rPr>
          <w:rFonts w:hint="eastAsia"/>
        </w:rPr>
        <w:t>“南京邮电大学通达学院”网页上发布之日起至投标截止时间止。供应商如确定参加投标，请于投标文件递交时间到指定地点登记报名、递交投标文件。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ind w:firstLine="480"/>
      </w:pPr>
      <w:r>
        <w:rPr>
          <w:rFonts w:hint="eastAsia"/>
          <w:b/>
        </w:rPr>
        <w:t>五、投标文件接收信息：</w:t>
      </w:r>
      <w:r>
        <w:rPr>
          <w:rFonts w:hint="eastAsia"/>
        </w:rPr>
        <w:t>投标文件接收截止时间：2020年</w:t>
      </w:r>
      <w:r>
        <w:rPr>
          <w:rFonts w:hint="eastAsia"/>
          <w:lang w:val="en-US" w:eastAsia="zh-CN"/>
        </w:rPr>
        <w:t>10</w:t>
      </w:r>
      <w:r>
        <w:rPr>
          <w:rFonts w:hint="eastAsia"/>
        </w:rPr>
        <w:t>月</w:t>
      </w:r>
      <w:r>
        <w:rPr>
          <w:rFonts w:hint="eastAsia"/>
          <w:lang w:val="en-US" w:eastAsia="zh-CN"/>
        </w:rPr>
        <w:t>22</w:t>
      </w:r>
      <w:r>
        <w:rPr>
          <w:rFonts w:hint="eastAsia"/>
        </w:rPr>
        <w:t>日 上午10时至 11时。地点：南京邮电大学通达学院行政中心9楼911办公室。 联系人：李老师， 联系电话：0514-89716083。 采购单位不接受邮寄、快递等投标，投标文件在投标截止时间后，一律不予退回。</w:t>
      </w:r>
    </w:p>
    <w:p>
      <w:pPr>
        <w:pStyle w:val="13"/>
        <w:shd w:val="clear" w:color="auto" w:fill="FFFFFF"/>
        <w:spacing w:before="0" w:beforeAutospacing="0" w:after="0" w:afterAutospacing="0"/>
        <w:ind w:firstLine="480"/>
      </w:pPr>
      <w:r>
        <w:rPr>
          <w:rFonts w:hint="eastAsia"/>
          <w:b/>
        </w:rPr>
        <w:t>六、开标有关信息：</w:t>
      </w:r>
      <w:r>
        <w:rPr>
          <w:rFonts w:hint="eastAsia"/>
        </w:rPr>
        <w:t>具体开标时间、地点，递交标书时另行通知。</w:t>
      </w:r>
    </w:p>
    <w:p>
      <w:pPr>
        <w:pStyle w:val="13"/>
        <w:shd w:val="clear" w:color="auto" w:fill="FFFFFF"/>
        <w:spacing w:before="0" w:beforeAutospacing="0" w:after="0" w:afterAutospacing="0"/>
        <w:ind w:firstLine="480"/>
      </w:pPr>
      <w:r>
        <w:rPr>
          <w:rFonts w:hint="eastAsia"/>
          <w:b/>
        </w:rPr>
        <w:t>七、缴纳费用：</w:t>
      </w:r>
      <w:r>
        <w:rPr>
          <w:rFonts w:hint="eastAsia"/>
        </w:rPr>
        <w:t>投标单位须在投标时缴纳100元标书费，</w:t>
      </w:r>
      <w:r>
        <w:rPr>
          <w:rFonts w:hint="eastAsia"/>
          <w:lang w:val="en-US" w:eastAsia="zh-CN"/>
        </w:rPr>
        <w:t>2</w:t>
      </w:r>
      <w:r>
        <w:rPr>
          <w:rFonts w:hint="eastAsia"/>
        </w:rPr>
        <w:t>000元项目投标保证金。</w:t>
      </w:r>
    </w:p>
    <w:p>
      <w:pPr>
        <w:pStyle w:val="13"/>
        <w:shd w:val="clear" w:color="auto" w:fill="FFFFFF"/>
        <w:spacing w:before="0" w:beforeAutospacing="0" w:after="0" w:afterAutospacing="0"/>
        <w:ind w:firstLine="480"/>
      </w:pPr>
      <w:r>
        <w:rPr>
          <w:rFonts w:hint="eastAsia"/>
          <w:b/>
        </w:rPr>
        <w:t>八、本次招标联系事项：</w:t>
      </w:r>
      <w:r>
        <w:rPr>
          <w:rFonts w:hint="eastAsia"/>
        </w:rPr>
        <w:t xml:space="preserve">联系人：李老师， 联系电话：0514-89716083。   </w:t>
      </w:r>
    </w:p>
    <w:p>
      <w:pPr>
        <w:pStyle w:val="13"/>
        <w:shd w:val="clear" w:color="auto" w:fill="FFFFFF"/>
        <w:spacing w:before="0" w:beforeAutospacing="0" w:after="0" w:afterAutospacing="0"/>
        <w:ind w:firstLine="480"/>
        <w:jc w:val="right"/>
      </w:pPr>
    </w:p>
    <w:p>
      <w:pPr>
        <w:pStyle w:val="13"/>
        <w:shd w:val="clear" w:color="auto" w:fill="FFFFFF"/>
        <w:spacing w:before="0" w:beforeAutospacing="0" w:after="0" w:afterAutospacing="0"/>
        <w:ind w:firstLine="480"/>
        <w:jc w:val="right"/>
      </w:pPr>
      <w:r>
        <w:rPr>
          <w:rFonts w:hint="eastAsia"/>
        </w:rPr>
        <w:t xml:space="preserve">南京邮电大学通达学院后勤管理处　　                                                  </w:t>
      </w:r>
    </w:p>
    <w:p>
      <w:pPr>
        <w:pStyle w:val="13"/>
        <w:shd w:val="clear" w:color="auto" w:fill="FFFFFF"/>
        <w:spacing w:before="0" w:beforeAutospacing="0" w:after="0" w:afterAutospacing="0"/>
        <w:jc w:val="right"/>
      </w:pPr>
      <w:r>
        <w:rPr>
          <w:rFonts w:hint="eastAsia"/>
        </w:rPr>
        <w:t xml:space="preserve">                                                         二〇二〇年</w:t>
      </w:r>
      <w:r>
        <w:rPr>
          <w:rFonts w:hint="eastAsia"/>
          <w:lang w:eastAsia="zh-CN"/>
        </w:rPr>
        <w:t>十</w:t>
      </w:r>
      <w:r>
        <w:rPr>
          <w:rFonts w:hint="eastAsia"/>
        </w:rPr>
        <w:t>月十</w:t>
      </w:r>
      <w:r>
        <w:rPr>
          <w:rFonts w:hint="eastAsia"/>
          <w:lang w:eastAsia="zh-CN"/>
        </w:rPr>
        <w:t>六</w:t>
      </w:r>
      <w:r>
        <w:rPr>
          <w:rFonts w:hint="eastAsia"/>
        </w:rPr>
        <w:t>日</w:t>
      </w:r>
    </w:p>
    <w:p>
      <w:pPr>
        <w:pStyle w:val="13"/>
        <w:shd w:val="clear" w:color="auto" w:fill="FFFFFF"/>
        <w:spacing w:before="0" w:beforeAutospacing="0" w:after="0" w:afterAutospacing="0"/>
        <w:jc w:val="right"/>
      </w:pPr>
    </w:p>
    <w:p>
      <w:pPr>
        <w:pStyle w:val="6"/>
        <w:ind w:firstLine="0" w:firstLineChars="0"/>
        <w:sectPr>
          <w:headerReference r:id="rId4" w:type="default"/>
          <w:footerReference r:id="rId5" w:type="default"/>
          <w:pgSz w:w="11907" w:h="16840"/>
          <w:pgMar w:top="1440" w:right="1080" w:bottom="1440" w:left="1080" w:header="851" w:footer="992" w:gutter="0"/>
          <w:pgNumType w:fmt="decimal" w:start="1"/>
          <w:cols w:space="720" w:num="1"/>
          <w:docGrid w:linePitch="312" w:charSpace="0"/>
        </w:sectPr>
      </w:pPr>
    </w:p>
    <w:bookmarkEnd w:id="0"/>
    <w:p>
      <w:pPr>
        <w:pStyle w:val="9"/>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513029202"/>
      <w:bookmarkStart w:id="8" w:name="_Toc16938518"/>
      <w:bookmarkStart w:id="9" w:name="_Toc20823274"/>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120614214"/>
      <w:bookmarkStart w:id="13" w:name="_Toc513029203"/>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9"/>
        <w:spacing w:line="340" w:lineRule="atLeast"/>
        <w:jc w:val="center"/>
        <w:rPr>
          <w:b/>
          <w:sz w:val="44"/>
          <w:szCs w:val="44"/>
        </w:rPr>
      </w:pPr>
      <w:r>
        <w:rPr>
          <w:rFonts w:hint="eastAsia"/>
          <w:sz w:val="24"/>
          <w:szCs w:val="24"/>
        </w:rPr>
        <w:br w:type="page"/>
      </w:r>
      <w:bookmarkEnd w:id="11"/>
      <w:bookmarkEnd w:id="12"/>
      <w:bookmarkEnd w:id="13"/>
      <w:bookmarkEnd w:id="14"/>
      <w:bookmarkStart w:id="15" w:name="_Toc20823314"/>
      <w:bookmarkStart w:id="16" w:name="_Toc479757207"/>
      <w:bookmarkStart w:id="17" w:name="_Toc120614221"/>
      <w:bookmarkStart w:id="18" w:name="_Toc513029242"/>
      <w:bookmarkStart w:id="19" w:name="_Toc16938558"/>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4"/>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20614244"/>
      <w:bookmarkStart w:id="25" w:name="_Toc462564139"/>
      <w:bookmarkStart w:id="26" w:name="_Toc479757211"/>
      <w:bookmarkStart w:id="27" w:name="_Hlt16619350"/>
      <w:bookmarkStart w:id="28" w:name="_Toc20823346"/>
      <w:bookmarkStart w:id="29" w:name="_Toc1693859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                           </w:t>
      </w:r>
      <w:r>
        <w:rPr>
          <w:rFonts w:hint="eastAsia" w:ascii="宋体" w:hAnsi="宋体" w:cs="宋体"/>
          <w:lang w:val="en-US" w:eastAsia="zh-CN"/>
        </w:rPr>
        <w:t xml:space="preserve">               </w:t>
      </w:r>
      <w:r>
        <w:rPr>
          <w:rFonts w:hint="eastAsia" w:ascii="宋体" w:hAnsi="宋体" w:cs="宋体"/>
        </w:rPr>
        <w:t xml:space="preserve">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9"/>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9"/>
        <w:numPr>
          <w:ilvl w:val="0"/>
          <w:numId w:val="2"/>
        </w:numPr>
        <w:jc w:val="center"/>
        <w:rPr>
          <w:rFonts w:hint="eastAsia"/>
          <w:b/>
          <w:sz w:val="44"/>
          <w:szCs w:val="44"/>
        </w:rPr>
      </w:pPr>
      <w:r>
        <w:rPr>
          <w:rFonts w:hint="eastAsia"/>
          <w:b/>
          <w:sz w:val="44"/>
          <w:szCs w:val="44"/>
        </w:rPr>
        <w:t>项目需求</w:t>
      </w:r>
    </w:p>
    <w:p>
      <w:pPr>
        <w:jc w:val="both"/>
        <w:rPr>
          <w:rFonts w:hint="eastAsia" w:ascii="黑体" w:eastAsia="黑体"/>
          <w:sz w:val="36"/>
          <w:szCs w:val="36"/>
          <w:lang w:val="en-US" w:eastAsia="zh-CN"/>
        </w:rPr>
      </w:pPr>
      <w:r>
        <w:rPr>
          <w:rFonts w:hint="eastAsia" w:ascii="黑体" w:eastAsia="黑体"/>
          <w:sz w:val="36"/>
          <w:szCs w:val="36"/>
          <w:lang w:eastAsia="zh-CN"/>
        </w:rPr>
        <w:t>一、</w:t>
      </w:r>
      <w:r>
        <w:rPr>
          <w:rFonts w:hint="eastAsia" w:ascii="黑体" w:eastAsia="黑体"/>
          <w:sz w:val="36"/>
          <w:szCs w:val="36"/>
        </w:rPr>
        <w:t>电动液压篮球架</w:t>
      </w:r>
      <w:r>
        <w:rPr>
          <w:rFonts w:hint="eastAsia" w:ascii="黑体" w:eastAsia="黑体"/>
          <w:sz w:val="36"/>
          <w:szCs w:val="36"/>
          <w:lang w:val="en-US" w:eastAsia="zh-CN"/>
        </w:rPr>
        <w:t>技术参数</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技术规格</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篮架伸臂为2.55M，篮圈上沿离地面高3.05M，球架底座尺寸：长×宽×前高×后高=1.95×1.1×0.67×0.4（M）。</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产品用材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篮球架底座采用6 mm的铁板在专用折边机上折边拼焊而成，底座前立柱、后立柱支撑架和油缸支撑架采用6 mm铁板折边制作，篮架立柱主要采用口200×70×3方管、口120×70×3方管和口70×70×3拼焊而成，篮架伸臂采用口140×140×4方管、口140×70×3方管和口70×50方管拼焊而成，焊缝表面均匀光滑，篮架立柱转动部位和伸臂头部连接件均采用优质精密铸钢件制作。</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产品结构原理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电动液压篮球架设有篮架升降系统、走轮伸缩</w:t>
      </w:r>
      <w:r>
        <w:rPr>
          <w:rFonts w:hint="eastAsia" w:ascii="宋体" w:hAnsi="宋体" w:cs="宋体"/>
          <w:sz w:val="24"/>
          <w:szCs w:val="24"/>
          <w:lang w:val="en-US" w:eastAsia="zh-CN"/>
        </w:rPr>
        <w:t>结</w:t>
      </w:r>
      <w:r>
        <w:rPr>
          <w:rFonts w:hint="eastAsia" w:ascii="宋体" w:hAnsi="宋体" w:cs="宋体"/>
          <w:sz w:val="24"/>
          <w:szCs w:val="24"/>
        </w:rPr>
        <w:t>构、电器、液压系统。</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篮架主体升降采用四连杆机构，使用时电机接通220V、50HZ单相电源即可启动，带动油泵，经电器控制系统进行“功能”转换，油缸随即产生伸缩运动，从而使球架立柱升降和底座走轮起落。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篮板</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规格：1800×1050（㎜），篮板配用国际通用的高强度安全玻璃篮板（13mm厚双层夹胶玻璃），并在篮板下沿侧面覆盖有包扎物，能保护运动员扣篮时不受伤害。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防护措施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能有效保证使用时的安全性及美观性。</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表面处理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产品</w:t>
      </w:r>
      <w:r>
        <w:rPr>
          <w:rFonts w:hint="eastAsia" w:ascii="宋体" w:hAnsi="宋体" w:cs="宋体"/>
          <w:sz w:val="24"/>
          <w:szCs w:val="24"/>
          <w:lang w:val="en-US" w:eastAsia="zh-CN"/>
        </w:rPr>
        <w:t>要</w:t>
      </w:r>
      <w:r>
        <w:rPr>
          <w:rFonts w:hint="eastAsia" w:ascii="宋体" w:hAnsi="宋体" w:cs="宋体"/>
          <w:sz w:val="24"/>
          <w:szCs w:val="24"/>
        </w:rPr>
        <w:t>具有耐酸碱、耐湿热、抗老化、外观美观等优点，能适合潮湿和酸雨环境，且前处理过程以及产品涂料配方均不含有毒元素，避免损害使用者的健康。</w:t>
      </w:r>
    </w:p>
    <w:p>
      <w:pPr>
        <w:numPr>
          <w:ilvl w:val="0"/>
          <w:numId w:val="3"/>
        </w:numPr>
        <w:jc w:val="both"/>
        <w:rPr>
          <w:rFonts w:hint="eastAsia" w:ascii="黑体" w:eastAsia="黑体"/>
          <w:sz w:val="36"/>
          <w:szCs w:val="36"/>
        </w:rPr>
      </w:pPr>
      <w:r>
        <w:rPr>
          <w:rFonts w:hint="eastAsia" w:ascii="黑体" w:eastAsia="黑体"/>
          <w:sz w:val="36"/>
          <w:szCs w:val="36"/>
        </w:rPr>
        <w:t>采购设备清单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tbl>
      <w:tblPr>
        <w:tblStyle w:val="1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2342"/>
        <w:gridCol w:w="650"/>
        <w:gridCol w:w="105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1"/>
                <w:szCs w:val="21"/>
              </w:rPr>
            </w:pPr>
            <w:r>
              <w:rPr>
                <w:rFonts w:hint="eastAsia" w:ascii="宋体" w:hAnsi="宋体" w:cs="宋体"/>
                <w:b/>
                <w:kern w:val="0"/>
                <w:sz w:val="21"/>
                <w:szCs w:val="21"/>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1"/>
                <w:szCs w:val="21"/>
              </w:rPr>
            </w:pPr>
            <w:r>
              <w:rPr>
                <w:rFonts w:hint="eastAsia" w:ascii="宋体" w:hAnsi="宋体" w:cs="宋体"/>
                <w:b/>
                <w:kern w:val="0"/>
                <w:sz w:val="21"/>
                <w:szCs w:val="21"/>
              </w:rPr>
              <w:t>名称</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hAnsi="宋体" w:cs="宋体"/>
                <w:b/>
                <w:kern w:val="0"/>
                <w:sz w:val="21"/>
                <w:szCs w:val="21"/>
              </w:rPr>
              <w:t>技术参数</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1"/>
                <w:szCs w:val="21"/>
              </w:rPr>
            </w:pPr>
            <w:r>
              <w:rPr>
                <w:rFonts w:hint="eastAsia" w:ascii="宋体" w:cs="宋体"/>
                <w:b/>
                <w:kern w:val="0"/>
                <w:sz w:val="21"/>
                <w:szCs w:val="21"/>
              </w:rPr>
              <w:t>数量</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cs="宋体"/>
                <w:b/>
                <w:kern w:val="0"/>
                <w:sz w:val="21"/>
                <w:szCs w:val="21"/>
              </w:rPr>
              <w:t>单位</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shd w:val="clear" w:fill="FFFF00"/>
              <w:spacing w:line="0" w:lineRule="atLeast"/>
              <w:jc w:val="center"/>
              <w:rPr>
                <w:rFonts w:ascii="宋体" w:hAnsi="宋体" w:cs="宋体"/>
                <w:b/>
                <w:kern w:val="0"/>
                <w:sz w:val="21"/>
                <w:szCs w:val="21"/>
              </w:rPr>
            </w:pPr>
            <w:r>
              <w:rPr>
                <w:rFonts w:hint="eastAsia" w:ascii="宋体" w:hAnsi="宋体" w:cs="宋体"/>
                <w:b/>
                <w:kern w:val="0"/>
                <w:sz w:val="21"/>
                <w:szCs w:val="21"/>
                <w:shd w:val="clear" w:fill="FFFF00"/>
              </w:rPr>
              <w:t>推荐</w:t>
            </w:r>
          </w:p>
          <w:p>
            <w:pPr>
              <w:widowControl/>
              <w:shd w:val="clear" w:fill="FFFF00"/>
              <w:spacing w:line="0" w:lineRule="atLeast"/>
              <w:jc w:val="center"/>
              <w:rPr>
                <w:rFonts w:ascii="宋体" w:cs="宋体"/>
                <w:b/>
                <w:kern w:val="0"/>
                <w:sz w:val="21"/>
                <w:szCs w:val="21"/>
              </w:rPr>
            </w:pPr>
            <w:r>
              <w:rPr>
                <w:rFonts w:hint="eastAsia" w:ascii="宋体" w:hAnsi="宋体" w:cs="宋体"/>
                <w:b/>
                <w:kern w:val="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hint="eastAsia" w:ascii="宋体" w:eastAsia="宋体" w:cs="宋体"/>
                <w:kern w:val="0"/>
                <w:sz w:val="20"/>
                <w:szCs w:val="20"/>
                <w:lang w:eastAsia="zh-CN"/>
              </w:rPr>
            </w:pPr>
            <w:r>
              <w:rPr>
                <w:rFonts w:hint="eastAsia" w:ascii="宋体" w:cs="宋体"/>
                <w:kern w:val="0"/>
                <w:sz w:val="20"/>
                <w:szCs w:val="20"/>
                <w:lang w:eastAsia="zh-CN"/>
              </w:rPr>
              <w:t>电动液压篮球架</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见参数要求</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rFonts w:hint="eastAsia" w:eastAsia="宋体"/>
                <w:kern w:val="0"/>
                <w:sz w:val="20"/>
                <w:szCs w:val="20"/>
                <w:lang w:eastAsia="zh-CN"/>
              </w:rPr>
            </w:pPr>
            <w:r>
              <w:rPr>
                <w:rFonts w:hint="eastAsia"/>
                <w:kern w:val="0"/>
                <w:sz w:val="20"/>
                <w:szCs w:val="20"/>
                <w:lang w:val="en-US" w:eastAsia="zh-CN"/>
              </w:rPr>
              <w:t>2</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eastAsia="宋体" w:cs="宋体"/>
                <w:kern w:val="0"/>
                <w:sz w:val="20"/>
                <w:szCs w:val="20"/>
                <w:lang w:eastAsia="zh-CN"/>
              </w:rPr>
            </w:pPr>
            <w:r>
              <w:rPr>
                <w:rFonts w:hint="eastAsia" w:ascii="宋体" w:cs="宋体"/>
                <w:kern w:val="0"/>
                <w:sz w:val="20"/>
                <w:szCs w:val="20"/>
                <w:lang w:eastAsia="zh-CN"/>
              </w:rPr>
              <w:t>副</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品质等同于金陵、宏康、红旗</w:t>
            </w:r>
          </w:p>
        </w:tc>
      </w:tr>
    </w:tbl>
    <w:p>
      <w:pPr>
        <w:pStyle w:val="2"/>
        <w:rPr>
          <w:rFonts w:hint="eastAsia"/>
        </w:rPr>
      </w:pPr>
    </w:p>
    <w:p>
      <w:pPr>
        <w:adjustRightInd w:val="0"/>
        <w:snapToGrid w:val="0"/>
        <w:spacing w:line="360" w:lineRule="auto"/>
        <w:rPr>
          <w:rFonts w:hint="eastAsia"/>
          <w:b/>
          <w:sz w:val="32"/>
        </w:rPr>
      </w:pPr>
      <w:r>
        <w:rPr>
          <w:rFonts w:hint="eastAsia"/>
          <w:b/>
          <w:sz w:val="32"/>
          <w:lang w:eastAsia="zh-CN"/>
        </w:rPr>
        <w:t>三</w:t>
      </w:r>
      <w:r>
        <w:rPr>
          <w:rFonts w:hint="eastAsia"/>
          <w:b/>
          <w:sz w:val="32"/>
        </w:rPr>
        <w:t>、商务条款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r>
        <w:rPr>
          <w:rFonts w:hint="eastAsia" w:ascii="宋体" w:hAnsi="宋体" w:cs="宋体"/>
          <w:sz w:val="24"/>
          <w:szCs w:val="24"/>
          <w:lang w:eastAsia="zh-CN"/>
        </w:rPr>
        <w:t>交付采购人使用</w:t>
      </w:r>
      <w:r>
        <w:rPr>
          <w:rFonts w:hint="eastAsia" w:ascii="宋体" w:hAnsi="宋体" w:cs="宋体"/>
          <w:sz w:val="24"/>
          <w:szCs w:val="24"/>
        </w:rPr>
        <w:t>。</w:t>
      </w:r>
    </w:p>
    <w:p>
      <w:pPr>
        <w:spacing w:line="360" w:lineRule="auto"/>
        <w:ind w:firstLine="480" w:firstLineChars="200"/>
        <w:rPr>
          <w:sz w:val="24"/>
        </w:rPr>
      </w:pPr>
      <w:r>
        <w:rPr>
          <w:rFonts w:hint="eastAsia" w:ascii="宋体" w:hAnsi="宋体" w:cs="宋体"/>
          <w:sz w:val="24"/>
          <w:szCs w:val="24"/>
          <w:lang w:val="en-US" w:eastAsia="zh-CN"/>
        </w:rPr>
        <w:t>2.</w:t>
      </w:r>
      <w:r>
        <w:rPr>
          <w:rFonts w:hint="eastAsia" w:ascii="宋体" w:hAnsi="宋体" w:cs="宋体"/>
          <w:sz w:val="24"/>
          <w:szCs w:val="24"/>
        </w:rPr>
        <w:t>质保期及售后服务要求:</w:t>
      </w:r>
      <w:r>
        <w:rPr>
          <w:rFonts w:hint="eastAsia"/>
          <w:sz w:val="24"/>
        </w:rPr>
        <w:t xml:space="preserve"> 设备保修三年。处理故障响应时间小于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lang w:val="en-US" w:eastAsia="zh-CN"/>
        </w:rPr>
        <w:t>3.</w:t>
      </w:r>
      <w:r>
        <w:rPr>
          <w:rFonts w:hint="eastAsia" w:ascii="宋体" w:hAnsi="宋体" w:cs="宋体"/>
          <w:sz w:val="24"/>
          <w:szCs w:val="24"/>
          <w:shd w:val="clear" w:fill="FFFF00"/>
        </w:rPr>
        <w:t>供货时限：</w:t>
      </w:r>
      <w:r>
        <w:rPr>
          <w:rFonts w:hint="eastAsia" w:ascii="宋体" w:hAnsi="宋体" w:cs="宋体"/>
          <w:sz w:val="24"/>
          <w:szCs w:val="24"/>
        </w:rPr>
        <w:t>中标方应于签订合同之日起</w:t>
      </w:r>
      <w:r>
        <w:rPr>
          <w:rFonts w:ascii="宋体" w:hAnsi="宋体" w:cs="宋体"/>
          <w:sz w:val="24"/>
          <w:szCs w:val="24"/>
        </w:rPr>
        <w:t>20</w:t>
      </w:r>
      <w:r>
        <w:rPr>
          <w:rFonts w:hint="eastAsia" w:ascii="宋体" w:hAnsi="宋体" w:cs="宋体"/>
          <w:sz w:val="24"/>
          <w:szCs w:val="24"/>
        </w:rPr>
        <w:t>日内完成</w:t>
      </w:r>
      <w:r>
        <w:rPr>
          <w:rFonts w:hint="eastAsia" w:ascii="宋体" w:hAnsi="宋体" w:cs="宋体"/>
          <w:sz w:val="24"/>
          <w:szCs w:val="24"/>
          <w:lang w:eastAsia="zh-CN"/>
        </w:rPr>
        <w:t>安装调试</w:t>
      </w:r>
      <w:r>
        <w:rPr>
          <w:rFonts w:hint="eastAsia" w:ascii="宋体" w:hAnsi="宋体" w:cs="宋体"/>
          <w:sz w:val="24"/>
          <w:szCs w:val="24"/>
        </w:rPr>
        <w:t>并通过</w:t>
      </w:r>
      <w:r>
        <w:rPr>
          <w:rFonts w:hint="eastAsia" w:ascii="宋体" w:hAnsi="宋体" w:cs="宋体"/>
          <w:sz w:val="24"/>
          <w:szCs w:val="24"/>
          <w:lang w:eastAsia="zh-CN"/>
        </w:rPr>
        <w:t>采购人</w:t>
      </w:r>
      <w:r>
        <w:rPr>
          <w:rFonts w:hint="eastAsia" w:ascii="宋体" w:hAnsi="宋体" w:cs="宋体"/>
          <w:sz w:val="24"/>
          <w:szCs w:val="24"/>
        </w:rPr>
        <w:t>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质保期满后</w:t>
      </w:r>
      <w:r>
        <w:rPr>
          <w:rFonts w:hint="eastAsia" w:ascii="宋体" w:hAnsi="宋体" w:cs="宋体"/>
          <w:sz w:val="24"/>
          <w:szCs w:val="24"/>
        </w:rPr>
        <w:t>无质量问题，余款无息结清。甲方付款前乙方需提供合法、有效、等额的增值税专用发票，并在发票备注栏注明“教学用”字样，否则，甲方有权拒付相应款项。</w:t>
      </w: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9"/>
        <w:spacing w:line="420" w:lineRule="exact"/>
        <w:jc w:val="center"/>
        <w:rPr>
          <w:b/>
          <w:sz w:val="44"/>
          <w:szCs w:val="44"/>
        </w:rPr>
      </w:pPr>
    </w:p>
    <w:p>
      <w:pPr>
        <w:pStyle w:val="9"/>
        <w:spacing w:line="420" w:lineRule="exact"/>
        <w:rPr>
          <w:b/>
          <w:sz w:val="44"/>
          <w:szCs w:val="44"/>
        </w:rPr>
      </w:pPr>
    </w:p>
    <w:p>
      <w:pPr>
        <w:pStyle w:val="9"/>
        <w:spacing w:line="420" w:lineRule="exact"/>
        <w:rPr>
          <w:b/>
          <w:sz w:val="44"/>
          <w:szCs w:val="44"/>
        </w:rPr>
        <w:sectPr>
          <w:footerReference r:id="rId11" w:type="default"/>
          <w:type w:val="continuous"/>
          <w:pgSz w:w="11906" w:h="16838"/>
          <w:pgMar w:top="1440" w:right="1077" w:bottom="1440" w:left="1077" w:header="851" w:footer="907" w:gutter="0"/>
          <w:pgNumType w:fmt="decimal"/>
          <w:cols w:space="720" w:num="1"/>
          <w:titlePg/>
          <w:docGrid w:linePitch="290" w:charSpace="0"/>
        </w:sectPr>
      </w:pPr>
    </w:p>
    <w:p>
      <w:pPr>
        <w:pStyle w:val="9"/>
        <w:spacing w:line="420" w:lineRule="exact"/>
        <w:jc w:val="center"/>
        <w:rPr>
          <w:b/>
          <w:sz w:val="44"/>
          <w:szCs w:val="44"/>
        </w:rPr>
      </w:pPr>
    </w:p>
    <w:p>
      <w:pPr>
        <w:pStyle w:val="9"/>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9"/>
        <w:adjustRightInd w:val="0"/>
        <w:snapToGrid w:val="0"/>
        <w:spacing w:line="440" w:lineRule="exact"/>
        <w:jc w:val="center"/>
        <w:rPr>
          <w:rFonts w:hAnsi="宋体" w:cs="宋体"/>
          <w:b/>
          <w:sz w:val="44"/>
          <w:szCs w:val="44"/>
        </w:rPr>
      </w:pPr>
    </w:p>
    <w:p>
      <w:pPr>
        <w:spacing w:line="380" w:lineRule="exact"/>
        <w:ind w:firstLine="472" w:firstLineChars="196"/>
        <w:rPr>
          <w:rFonts w:ascii="宋体" w:hAnsi="宋体"/>
          <w:b/>
          <w:sz w:val="24"/>
          <w:szCs w:val="24"/>
        </w:rPr>
      </w:pPr>
      <w:r>
        <w:rPr>
          <w:rFonts w:hint="eastAsia" w:ascii="宋体" w:hAnsi="宋体"/>
          <w:b/>
          <w:sz w:val="24"/>
          <w:szCs w:val="24"/>
        </w:rPr>
        <w:t>一、总则</w:t>
      </w:r>
      <w:bookmarkStart w:id="50" w:name="_GoBack"/>
      <w:bookmarkEnd w:id="50"/>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40</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40</w:t>
      </w:r>
      <w:r>
        <w:rPr>
          <w:rFonts w:hint="eastAsia" w:ascii="宋体" w:hAnsi="宋体"/>
          <w:sz w:val="24"/>
        </w:rPr>
        <w:t>。计算结果保留两位小数。</w:t>
      </w:r>
    </w:p>
    <w:p>
      <w:pPr>
        <w:tabs>
          <w:tab w:val="left" w:pos="0"/>
          <w:tab w:val="left" w:pos="600"/>
          <w:tab w:val="left" w:pos="1134"/>
        </w:tabs>
        <w:adjustRightInd w:val="0"/>
        <w:snapToGrid w:val="0"/>
        <w:spacing w:line="380" w:lineRule="exact"/>
        <w:ind w:firstLine="472" w:firstLineChars="196"/>
        <w:rPr>
          <w:rFonts w:hint="eastAsia" w:ascii="宋体" w:hAnsi="宋体"/>
          <w:b/>
          <w:bCs/>
          <w:sz w:val="24"/>
        </w:rPr>
      </w:pPr>
      <w:r>
        <w:rPr>
          <w:rFonts w:hint="eastAsia" w:ascii="宋体" w:hAnsi="宋体"/>
          <w:b/>
          <w:bCs/>
          <w:sz w:val="24"/>
        </w:rPr>
        <w:t>2.技术参数响应情况(</w:t>
      </w:r>
      <w:r>
        <w:rPr>
          <w:rFonts w:hint="eastAsia" w:ascii="宋体" w:hAnsi="宋体"/>
          <w:b/>
          <w:bCs/>
          <w:sz w:val="24"/>
          <w:lang w:val="en-US" w:eastAsia="zh-CN"/>
        </w:rPr>
        <w:t>16</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sz w:val="24"/>
        </w:rPr>
      </w:pPr>
      <w:r>
        <w:rPr>
          <w:rFonts w:hint="eastAsia" w:ascii="宋体" w:hAnsi="宋体"/>
          <w:sz w:val="24"/>
        </w:rPr>
        <w:t>根据各投标文件对技术性能</w:t>
      </w:r>
      <w:r>
        <w:rPr>
          <w:rFonts w:hint="eastAsia" w:ascii="宋体" w:hAnsi="宋体"/>
          <w:sz w:val="24"/>
          <w:lang w:eastAsia="zh-CN"/>
        </w:rPr>
        <w:t>（共</w:t>
      </w:r>
      <w:r>
        <w:rPr>
          <w:rFonts w:hint="eastAsia" w:ascii="宋体" w:hAnsi="宋体"/>
          <w:sz w:val="24"/>
          <w:lang w:val="en-US" w:eastAsia="zh-CN"/>
        </w:rPr>
        <w:t>6个指标</w:t>
      </w:r>
      <w:r>
        <w:rPr>
          <w:rFonts w:hint="eastAsia" w:ascii="宋体" w:hAnsi="宋体"/>
          <w:sz w:val="24"/>
          <w:lang w:eastAsia="zh-CN"/>
        </w:rPr>
        <w:t>）</w:t>
      </w:r>
      <w:r>
        <w:rPr>
          <w:rFonts w:hint="eastAsia" w:ascii="宋体" w:hAnsi="宋体"/>
          <w:sz w:val="24"/>
        </w:rPr>
        <w:t>的响应情况，完全响应得</w:t>
      </w:r>
      <w:r>
        <w:rPr>
          <w:rFonts w:hint="eastAsia" w:ascii="宋体" w:hAnsi="宋体"/>
          <w:sz w:val="24"/>
          <w:lang w:val="en-US" w:eastAsia="zh-CN"/>
        </w:rPr>
        <w:t>12</w:t>
      </w:r>
      <w:r>
        <w:rPr>
          <w:rFonts w:hint="eastAsia" w:ascii="宋体" w:hAnsi="宋体"/>
          <w:sz w:val="24"/>
        </w:rPr>
        <w:t>分</w:t>
      </w:r>
      <w:r>
        <w:rPr>
          <w:rFonts w:hint="eastAsia" w:ascii="宋体" w:hAnsi="宋体"/>
          <w:sz w:val="24"/>
          <w:lang w:eastAsia="zh-CN"/>
        </w:rPr>
        <w:t>，</w:t>
      </w:r>
      <w:r>
        <w:rPr>
          <w:rFonts w:hint="eastAsia" w:ascii="宋体" w:hAnsi="宋体"/>
          <w:sz w:val="24"/>
        </w:rPr>
        <w:t>负偏离一项扣3分，正偏离一项加2分（评标工作组认为超出指标有意义），最高得分为</w:t>
      </w:r>
      <w:r>
        <w:rPr>
          <w:rFonts w:hint="eastAsia" w:ascii="宋体" w:hAnsi="宋体"/>
          <w:sz w:val="24"/>
          <w:lang w:val="en-US" w:eastAsia="zh-CN"/>
        </w:rPr>
        <w:t>4</w:t>
      </w:r>
      <w:r>
        <w:rPr>
          <w:rFonts w:hint="eastAsia" w:ascii="宋体" w:hAnsi="宋体"/>
          <w:sz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3.售后服务和培训（20分）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（1）免费质保及维保期内及期后服务方案：如服务体系、服务内容、故障解决方案等，最优的得4分；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(2)免费质保期满足</w:t>
      </w:r>
      <w:r>
        <w:rPr>
          <w:rFonts w:hint="eastAsia" w:ascii="宋体" w:hAnsi="宋体" w:eastAsia="宋体" w:cs="Times New Roman"/>
          <w:sz w:val="24"/>
          <w:lang w:eastAsia="zh-CN"/>
        </w:rPr>
        <w:t>采购</w:t>
      </w:r>
      <w:r>
        <w:rPr>
          <w:rFonts w:hint="eastAsia" w:ascii="宋体" w:hAnsi="宋体" w:eastAsia="宋体" w:cs="Times New Roman"/>
          <w:sz w:val="24"/>
        </w:rPr>
        <w:t>文件需求，得3分；免费维保期每延长1年，加2分，最高加4分；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(3)维修响应时间3分。承诺处理故障响应时间小于24小时得2分，优于要求的得3分，未响应的不得分。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w:t>
      </w:r>
      <w:r>
        <w:rPr>
          <w:rFonts w:hint="eastAsia" w:ascii="宋体" w:hAnsi="宋体" w:eastAsia="宋体" w:cs="Times New Roman"/>
          <w:sz w:val="24"/>
        </w:rPr>
        <w:t>免费质保及维保期结束后，继续提供优惠维修及更换损坏配件的，维修及配件（原配件）费用报价优惠合理的得</w:t>
      </w:r>
      <w:r>
        <w:rPr>
          <w:rFonts w:hint="eastAsia" w:ascii="宋体" w:hAnsi="宋体" w:eastAsia="宋体" w:cs="Times New Roman"/>
          <w:sz w:val="24"/>
          <w:lang w:val="en-US" w:eastAsia="zh-CN"/>
        </w:rPr>
        <w:t>3</w:t>
      </w:r>
      <w:r>
        <w:rPr>
          <w:rFonts w:hint="eastAsia" w:ascii="宋体" w:hAnsi="宋体" w:eastAsia="宋体" w:cs="Times New Roman"/>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val="en-US" w:eastAsia="zh-CN"/>
        </w:rPr>
        <w:t>供货及完成安装时间</w:t>
      </w:r>
      <w:r>
        <w:rPr>
          <w:rFonts w:hint="eastAsia" w:ascii="宋体" w:hAnsi="宋体" w:eastAsia="宋体" w:cs="Times New Roman"/>
          <w:sz w:val="24"/>
        </w:rPr>
        <w:t>。承诺</w:t>
      </w:r>
      <w:r>
        <w:rPr>
          <w:rFonts w:hint="eastAsia" w:ascii="宋体" w:hAnsi="宋体" w:eastAsia="宋体" w:cs="Times New Roman"/>
          <w:sz w:val="24"/>
          <w:lang w:val="en-US" w:eastAsia="zh-CN"/>
        </w:rPr>
        <w:t>供货及完成安装时间长短，评委根据投标人响应时间酌情给分，最优得3分</w:t>
      </w:r>
      <w:r>
        <w:rPr>
          <w:rFonts w:hint="eastAsia" w:ascii="宋体" w:hAnsi="宋体" w:eastAsia="宋体" w:cs="Times New Roman"/>
          <w:sz w:val="24"/>
        </w:rPr>
        <w:t>。</w:t>
      </w:r>
    </w:p>
    <w:p>
      <w:pPr>
        <w:tabs>
          <w:tab w:val="left" w:pos="0"/>
          <w:tab w:val="left" w:pos="600"/>
          <w:tab w:val="left" w:pos="993"/>
          <w:tab w:val="left" w:pos="1134"/>
        </w:tabs>
        <w:adjustRightInd w:val="0"/>
        <w:snapToGrid w:val="0"/>
        <w:spacing w:line="380" w:lineRule="exact"/>
        <w:jc w:val="left"/>
        <w:rPr>
          <w:rFonts w:hint="eastAsia" w:ascii="宋体" w:hAnsi="宋体"/>
          <w:b/>
          <w:sz w:val="24"/>
        </w:rPr>
      </w:pPr>
      <w:r>
        <w:rPr>
          <w:rFonts w:hint="eastAsia" w:ascii="宋体" w:hAnsi="宋体"/>
          <w:b/>
          <w:sz w:val="24"/>
        </w:rPr>
        <w:t xml:space="preserve">     4.投标人履行合同的能力</w:t>
      </w:r>
      <w:r>
        <w:rPr>
          <w:rFonts w:hint="eastAsia" w:ascii="宋体" w:hAnsi="宋体"/>
          <w:b/>
          <w:sz w:val="24"/>
          <w:lang w:eastAsia="zh-CN"/>
        </w:rPr>
        <w:t>（</w:t>
      </w:r>
      <w:r>
        <w:rPr>
          <w:rFonts w:hint="eastAsia" w:ascii="宋体" w:hAnsi="宋体"/>
          <w:b/>
          <w:sz w:val="24"/>
          <w:lang w:val="en-US" w:eastAsia="zh-CN"/>
        </w:rPr>
        <w:t>10</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所投产品制造商</w:t>
      </w:r>
      <w:r>
        <w:rPr>
          <w:rFonts w:hint="eastAsia" w:ascii="宋体" w:hAnsi="宋体"/>
          <w:sz w:val="24"/>
        </w:rPr>
        <w:t>获得</w:t>
      </w:r>
      <w:r>
        <w:rPr>
          <w:rFonts w:hint="default" w:ascii="宋体" w:hAnsi="宋体"/>
          <w:sz w:val="24"/>
        </w:rPr>
        <w:t>国家</w:t>
      </w:r>
      <w:r>
        <w:rPr>
          <w:rFonts w:hint="eastAsia" w:ascii="宋体" w:hAnsi="宋体"/>
          <w:sz w:val="24"/>
        </w:rPr>
        <w:t>级“守合同重信用”证书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供应商所</w:t>
      </w:r>
      <w:r>
        <w:rPr>
          <w:rFonts w:hint="default" w:ascii="宋体" w:hAnsi="宋体"/>
          <w:sz w:val="24"/>
        </w:rPr>
        <w:t>产品制造商</w:t>
      </w:r>
      <w:r>
        <w:rPr>
          <w:rFonts w:hint="eastAsia" w:ascii="宋体" w:hAnsi="宋体"/>
          <w:sz w:val="24"/>
        </w:rPr>
        <w:t>获得国家体育总局颁发的</w:t>
      </w:r>
      <w:r>
        <w:rPr>
          <w:rFonts w:hint="eastAsia" w:ascii="宋体" w:hAnsi="宋体"/>
          <w:sz w:val="24"/>
          <w:lang w:val="zh-CN"/>
        </w:rPr>
        <w:t>国家级体育产业示范单位（体育用品制造与销售类）的，</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供应商所投产品</w:t>
      </w:r>
      <w:r>
        <w:rPr>
          <w:rFonts w:hint="default" w:ascii="宋体" w:hAnsi="宋体"/>
          <w:sz w:val="24"/>
        </w:rPr>
        <w:t>制造商获得绿色工厂的</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供应商所投</w:t>
      </w:r>
      <w:r>
        <w:rPr>
          <w:rFonts w:hint="default" w:ascii="宋体" w:hAnsi="宋体"/>
          <w:sz w:val="24"/>
        </w:rPr>
        <w:t>产品制造商</w:t>
      </w:r>
      <w:r>
        <w:rPr>
          <w:rFonts w:hint="eastAsia" w:ascii="宋体" w:hAnsi="宋体"/>
          <w:sz w:val="24"/>
        </w:rPr>
        <w:t>通过</w:t>
      </w:r>
      <w:r>
        <w:rPr>
          <w:rFonts w:hint="default" w:ascii="宋体" w:hAnsi="宋体"/>
          <w:sz w:val="24"/>
        </w:rPr>
        <w:t>国家知识产权示范单位</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（5）</w:t>
      </w:r>
      <w:r>
        <w:rPr>
          <w:rFonts w:hint="eastAsia" w:ascii="宋体" w:hAnsi="宋体"/>
          <w:sz w:val="24"/>
        </w:rPr>
        <w:t>供应商所投产品通过中国环境标志（Ⅱ型）产品认证证书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（6）</w:t>
      </w:r>
      <w:r>
        <w:rPr>
          <w:rFonts w:hint="eastAsia" w:ascii="宋体" w:hAnsi="宋体"/>
          <w:sz w:val="24"/>
        </w:rPr>
        <w:t>供应商所投篮球架生产厂家具有产品质量险、人身意外伤害险、</w:t>
      </w:r>
      <w:r>
        <w:rPr>
          <w:rFonts w:hint="default" w:ascii="宋体" w:hAnsi="宋体"/>
          <w:sz w:val="24"/>
        </w:rPr>
        <w:t>（承保地域：世界范围）</w:t>
      </w:r>
      <w:r>
        <w:rPr>
          <w:rFonts w:hint="eastAsia" w:ascii="宋体" w:hAnsi="宋体"/>
          <w:sz w:val="24"/>
        </w:rPr>
        <w:t>产品责任险、公众责任险</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（7）</w:t>
      </w:r>
      <w:r>
        <w:rPr>
          <w:rFonts w:hint="eastAsia" w:ascii="宋体" w:hAnsi="宋体"/>
          <w:sz w:val="24"/>
        </w:rPr>
        <w:t>供应商所投篮球架生产厂家被第三方认定机构评定五星级售后服务认证及售后服务人员具有高级管理师售后服务认证证书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供应商所投篮球架生产厂家被第三方认定机构评定获得全国质量检验稳定合格产品证书</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供应商所投篮球架生产厂家被第三方认定机构评定获得全国体育器材行业质量领军企业</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所投产品制造商</w:t>
      </w:r>
      <w:r>
        <w:rPr>
          <w:rFonts w:hint="eastAsia" w:ascii="宋体" w:hAnsi="宋体"/>
          <w:sz w:val="24"/>
        </w:rPr>
        <w:t>同时具有质量管理体系认证、环境管理体系认证和职业健康管理体系认证</w:t>
      </w:r>
      <w:r>
        <w:rPr>
          <w:rFonts w:hint="default" w:ascii="宋体" w:hAnsi="宋体"/>
          <w:sz w:val="24"/>
        </w:rPr>
        <w:t xml:space="preserve"> </w:t>
      </w:r>
      <w:r>
        <w:rPr>
          <w:rFonts w:hint="eastAsia" w:ascii="宋体" w:hAnsi="宋体"/>
          <w:sz w:val="24"/>
          <w:lang w:eastAsia="zh-CN"/>
        </w:rPr>
        <w:t>，得</w:t>
      </w:r>
      <w:r>
        <w:rPr>
          <w:rFonts w:hint="eastAsia" w:ascii="宋体" w:hAnsi="宋体"/>
          <w:sz w:val="24"/>
          <w:lang w:val="en-US" w:eastAsia="zh-CN"/>
        </w:rPr>
        <w:t>1分。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rPr>
        <w:t xml:space="preserve"> </w:t>
      </w:r>
      <w:r>
        <w:rPr>
          <w:rFonts w:hint="eastAsia" w:ascii="宋体" w:hAnsi="宋体"/>
          <w:b/>
          <w:sz w:val="24"/>
          <w:lang w:val="en-US" w:eastAsia="zh-CN"/>
        </w:rPr>
        <w:t>5</w:t>
      </w:r>
      <w:r>
        <w:rPr>
          <w:rFonts w:hint="eastAsia" w:ascii="宋体" w:hAnsi="宋体"/>
          <w:b/>
          <w:sz w:val="24"/>
        </w:rPr>
        <w:t>.业绩（</w:t>
      </w:r>
      <w:r>
        <w:rPr>
          <w:rFonts w:hint="eastAsia" w:ascii="宋体" w:hAnsi="宋体"/>
          <w:b/>
          <w:sz w:val="24"/>
          <w:lang w:val="en-US" w:eastAsia="zh-CN"/>
        </w:rPr>
        <w:t>14</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lang w:val="en-US" w:eastAsia="zh-CN"/>
        </w:rPr>
        <w:t>三</w:t>
      </w:r>
      <w:r>
        <w:rPr>
          <w:rFonts w:hint="eastAsia" w:hAnsi="宋体"/>
          <w:sz w:val="24"/>
        </w:rPr>
        <w:t>年内</w:t>
      </w:r>
      <w:r>
        <w:rPr>
          <w:rFonts w:hint="eastAsia" w:ascii="宋体" w:hAnsi="宋体"/>
          <w:bCs/>
          <w:sz w:val="24"/>
          <w:szCs w:val="24"/>
        </w:rPr>
        <w:t>有</w:t>
      </w:r>
      <w:r>
        <w:rPr>
          <w:rFonts w:hint="eastAsia" w:ascii="宋体" w:hAnsi="宋体"/>
          <w:sz w:val="24"/>
        </w:rPr>
        <w:t>供应商所投篮球器材经过洲际性赛事、国家级赛事使用的有一个得2分，最高得</w:t>
      </w:r>
      <w:r>
        <w:rPr>
          <w:rFonts w:hint="eastAsia" w:ascii="宋体" w:hAnsi="宋体"/>
          <w:sz w:val="24"/>
          <w:lang w:val="en-US" w:eastAsia="zh-CN"/>
        </w:rPr>
        <w:t>14</w:t>
      </w:r>
      <w:r>
        <w:rPr>
          <w:rFonts w:hint="eastAsia" w:ascii="宋体" w:hAnsi="宋体"/>
          <w:sz w:val="24"/>
        </w:rPr>
        <w:t>分（提供相关赛事组委会出具的证明或者荣誉证书，同时提供原件，否则本项不得分）</w:t>
      </w:r>
      <w:r>
        <w:rPr>
          <w:rFonts w:hint="eastAsia" w:hAnsi="宋体"/>
          <w:sz w:val="24"/>
          <w:lang w:val="en-US" w:eastAsia="zh-CN"/>
        </w:rPr>
        <w:t>14</w:t>
      </w:r>
      <w:r>
        <w:rPr>
          <w:rFonts w:hint="eastAsia" w:hAnsi="宋体"/>
          <w:sz w:val="24"/>
        </w:rPr>
        <w:t>分)</w:t>
      </w: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9"/>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26554094"/>
      <w:bookmarkStart w:id="33" w:name="_Toc49090576"/>
      <w:bookmarkStart w:id="3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8"/>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8"/>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8"/>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8"/>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8"/>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8"/>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8"/>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8"/>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9"/>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9"/>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9"/>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格式3__银行出具的资信证明"/>
      <w:bookmarkEnd w:id="37"/>
      <w:bookmarkStart w:id="38" w:name="_Hlt26955070"/>
      <w:bookmarkEnd w:id="38"/>
      <w:bookmarkStart w:id="39" w:name="_Hlt2667138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4"/>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4"/>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22356580"/>
      <w:bookmarkStart w:id="43" w:name="_Toc120614283"/>
      <w:bookmarkStart w:id="44" w:name="_Toc460901585"/>
      <w:bookmarkStart w:id="45" w:name="_Toc49090577"/>
      <w:bookmarkStart w:id="46" w:name="_Toc26554095"/>
      <w:bookmarkStart w:id="47" w:name="_Toc23828478"/>
      <w:bookmarkStart w:id="48"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4"/>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序号</w:t>
            </w:r>
          </w:p>
        </w:tc>
        <w:tc>
          <w:tcPr>
            <w:tcW w:w="2976" w:type="dxa"/>
            <w:vAlign w:val="center"/>
          </w:tcPr>
          <w:p>
            <w:pPr>
              <w:pStyle w:val="27"/>
              <w:ind w:left="420"/>
              <w:jc w:val="center"/>
              <w:rPr>
                <w:rFonts w:hAnsi="宋体"/>
                <w:color w:val="auto"/>
              </w:rPr>
            </w:pPr>
            <w:r>
              <w:rPr>
                <w:rFonts w:hint="eastAsia" w:hAnsi="宋体"/>
                <w:color w:val="auto"/>
              </w:rPr>
              <w:t>项目</w:t>
            </w:r>
          </w:p>
        </w:tc>
        <w:tc>
          <w:tcPr>
            <w:tcW w:w="1985" w:type="dxa"/>
            <w:vAlign w:val="center"/>
          </w:tcPr>
          <w:p>
            <w:pPr>
              <w:pStyle w:val="27"/>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7"/>
              <w:ind w:left="420"/>
              <w:jc w:val="center"/>
              <w:rPr>
                <w:rFonts w:hAnsi="宋体"/>
                <w:color w:val="auto"/>
              </w:rPr>
            </w:pPr>
            <w:r>
              <w:rPr>
                <w:rFonts w:hint="eastAsia" w:hAnsi="宋体"/>
                <w:color w:val="auto"/>
              </w:rPr>
              <w:t>投标供应商的承诺或说明</w:t>
            </w:r>
          </w:p>
        </w:tc>
        <w:tc>
          <w:tcPr>
            <w:tcW w:w="1687" w:type="dxa"/>
            <w:vAlign w:val="center"/>
          </w:tcPr>
          <w:p>
            <w:pPr>
              <w:pStyle w:val="27"/>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1</w:t>
            </w:r>
          </w:p>
        </w:tc>
        <w:tc>
          <w:tcPr>
            <w:tcW w:w="2976" w:type="dxa"/>
            <w:vAlign w:val="center"/>
          </w:tcPr>
          <w:p>
            <w:pPr>
              <w:pStyle w:val="27"/>
              <w:ind w:left="420"/>
              <w:jc w:val="center"/>
              <w:rPr>
                <w:rFonts w:hAnsi="宋体"/>
                <w:color w:val="auto"/>
              </w:rPr>
            </w:pPr>
            <w:r>
              <w:rPr>
                <w:rFonts w:hint="eastAsia" w:hAnsi="宋体"/>
                <w:color w:val="auto"/>
              </w:rPr>
              <w:t>质保期</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2</w:t>
            </w:r>
          </w:p>
        </w:tc>
        <w:tc>
          <w:tcPr>
            <w:tcW w:w="2976" w:type="dxa"/>
            <w:vAlign w:val="center"/>
          </w:tcPr>
          <w:p>
            <w:pPr>
              <w:pStyle w:val="27"/>
              <w:ind w:left="420"/>
              <w:jc w:val="center"/>
              <w:rPr>
                <w:rFonts w:hAnsi="宋体"/>
                <w:color w:val="auto"/>
              </w:rPr>
            </w:pPr>
            <w:r>
              <w:rPr>
                <w:rFonts w:hint="eastAsia" w:hAnsi="宋体"/>
                <w:color w:val="auto"/>
              </w:rPr>
              <w:t>售后技术服务要求</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7"/>
              <w:ind w:left="420"/>
              <w:jc w:val="center"/>
              <w:rPr>
                <w:rFonts w:hAnsi="宋体"/>
                <w:color w:val="auto"/>
              </w:rPr>
            </w:pPr>
            <w:r>
              <w:rPr>
                <w:rFonts w:hint="eastAsia" w:hAnsi="宋体"/>
                <w:color w:val="auto"/>
              </w:rPr>
              <w:t>3</w:t>
            </w:r>
          </w:p>
        </w:tc>
        <w:tc>
          <w:tcPr>
            <w:tcW w:w="2976" w:type="dxa"/>
            <w:vAlign w:val="center"/>
          </w:tcPr>
          <w:p>
            <w:pPr>
              <w:pStyle w:val="27"/>
              <w:ind w:left="420"/>
              <w:jc w:val="center"/>
              <w:rPr>
                <w:rFonts w:hAnsi="宋体"/>
                <w:color w:val="auto"/>
              </w:rPr>
            </w:pPr>
            <w:r>
              <w:rPr>
                <w:rFonts w:hint="eastAsia" w:hAnsi="宋体"/>
                <w:color w:val="auto"/>
              </w:rPr>
              <w:t>供货期</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4</w:t>
            </w:r>
          </w:p>
        </w:tc>
        <w:tc>
          <w:tcPr>
            <w:tcW w:w="2976" w:type="dxa"/>
            <w:vAlign w:val="center"/>
          </w:tcPr>
          <w:p>
            <w:pPr>
              <w:pStyle w:val="27"/>
              <w:ind w:left="420"/>
              <w:jc w:val="center"/>
              <w:rPr>
                <w:rFonts w:hAnsi="宋体"/>
                <w:color w:val="auto"/>
              </w:rPr>
            </w:pPr>
            <w:r>
              <w:rPr>
                <w:rFonts w:hint="eastAsia" w:hAnsi="宋体"/>
                <w:color w:val="auto"/>
              </w:rPr>
              <w:t>交货方式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5</w:t>
            </w:r>
          </w:p>
        </w:tc>
        <w:tc>
          <w:tcPr>
            <w:tcW w:w="2976" w:type="dxa"/>
            <w:vAlign w:val="center"/>
          </w:tcPr>
          <w:p>
            <w:pPr>
              <w:pStyle w:val="27"/>
              <w:ind w:left="420"/>
              <w:jc w:val="center"/>
              <w:rPr>
                <w:rFonts w:hAnsi="宋体"/>
                <w:color w:val="auto"/>
              </w:rPr>
            </w:pPr>
            <w:r>
              <w:rPr>
                <w:rFonts w:hint="eastAsia" w:hAnsi="宋体"/>
                <w:color w:val="auto"/>
              </w:rPr>
              <w:t>付款方式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6</w:t>
            </w:r>
          </w:p>
        </w:tc>
        <w:tc>
          <w:tcPr>
            <w:tcW w:w="2976" w:type="dxa"/>
            <w:vAlign w:val="center"/>
          </w:tcPr>
          <w:p>
            <w:pPr>
              <w:pStyle w:val="27"/>
              <w:ind w:left="420"/>
              <w:jc w:val="center"/>
              <w:rPr>
                <w:rFonts w:hAnsi="宋体"/>
                <w:color w:val="auto"/>
              </w:rPr>
            </w:pPr>
            <w:r>
              <w:rPr>
                <w:rFonts w:hint="eastAsia" w:hAnsi="宋体"/>
                <w:color w:val="auto"/>
              </w:rPr>
              <w:t>投标货币</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7"/>
              <w:ind w:left="420"/>
              <w:jc w:val="center"/>
              <w:rPr>
                <w:rFonts w:hAnsi="宋体"/>
                <w:color w:val="auto"/>
              </w:rPr>
            </w:pPr>
            <w:r>
              <w:rPr>
                <w:rFonts w:hint="eastAsia" w:hAnsi="宋体"/>
                <w:color w:val="auto"/>
              </w:rPr>
              <w:t>7</w:t>
            </w:r>
          </w:p>
        </w:tc>
        <w:tc>
          <w:tcPr>
            <w:tcW w:w="2976" w:type="dxa"/>
            <w:vAlign w:val="center"/>
          </w:tcPr>
          <w:p>
            <w:pPr>
              <w:pStyle w:val="27"/>
              <w:ind w:left="420"/>
              <w:jc w:val="center"/>
              <w:rPr>
                <w:rFonts w:hAnsi="宋体"/>
                <w:color w:val="auto"/>
              </w:rPr>
            </w:pPr>
            <w:r>
              <w:rPr>
                <w:rFonts w:hint="eastAsia" w:hAnsi="宋体"/>
                <w:color w:val="auto"/>
              </w:rPr>
              <w:t>备品备件及耗材等要求</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r>
              <w:rPr>
                <w:rFonts w:hint="eastAsia" w:hAnsi="宋体"/>
                <w:color w:val="auto"/>
              </w:rPr>
              <w:t>8</w:t>
            </w:r>
          </w:p>
        </w:tc>
        <w:tc>
          <w:tcPr>
            <w:tcW w:w="2976" w:type="dxa"/>
            <w:vAlign w:val="center"/>
          </w:tcPr>
          <w:p>
            <w:pPr>
              <w:pStyle w:val="27"/>
              <w:ind w:left="420"/>
              <w:jc w:val="center"/>
              <w:rPr>
                <w:rFonts w:hAnsi="宋体"/>
                <w:color w:val="auto"/>
              </w:rPr>
            </w:pPr>
            <w:r>
              <w:rPr>
                <w:rFonts w:hint="eastAsia" w:hAnsi="宋体"/>
                <w:color w:val="auto"/>
              </w:rPr>
              <w:t>培训方式</w:t>
            </w: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ind w:left="420"/>
              <w:jc w:val="center"/>
              <w:rPr>
                <w:rFonts w:hAnsi="宋体"/>
                <w:color w:val="auto"/>
              </w:rPr>
            </w:pPr>
          </w:p>
        </w:tc>
        <w:tc>
          <w:tcPr>
            <w:tcW w:w="2976" w:type="dxa"/>
            <w:vAlign w:val="center"/>
          </w:tcPr>
          <w:p>
            <w:pPr>
              <w:pStyle w:val="27"/>
              <w:ind w:left="420"/>
              <w:jc w:val="center"/>
              <w:rPr>
                <w:rFonts w:hAnsi="宋体"/>
                <w:color w:val="auto"/>
              </w:rPr>
            </w:pPr>
          </w:p>
        </w:tc>
        <w:tc>
          <w:tcPr>
            <w:tcW w:w="1985"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bl>
    <w:p>
      <w:pPr>
        <w:pStyle w:val="27"/>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7"/>
        <w:spacing w:line="360" w:lineRule="exact"/>
        <w:ind w:left="420"/>
        <w:rPr>
          <w:rFonts w:hAnsi="宋体"/>
          <w:color w:val="auto"/>
        </w:rPr>
      </w:pPr>
      <w:r>
        <w:rPr>
          <w:rFonts w:hint="eastAsia" w:hAnsi="宋体"/>
          <w:color w:val="auto"/>
        </w:rPr>
        <w:t>注：</w:t>
      </w:r>
    </w:p>
    <w:p>
      <w:pPr>
        <w:pStyle w:val="27"/>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7"/>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7"/>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7"/>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 w:val="clear" w:pos="8306"/>
      </w:tabs>
      <w:rPr>
        <w:b/>
        <w:i/>
      </w:rPr>
    </w:pPr>
    <w:r>
      <w:rPr>
        <w:sz w:val="20"/>
      </w:rPr>
      <w:pict>
        <v:shape id="文本框 6" o:spid="_x0000_s1026" o:spt="202" type="#_x0000_t202" style="position:absolute;left:0pt;margin-top:14.25pt;height:20.7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lang w:val="en-US" w:eastAsia="zh-CN"/>
      </w:rPr>
      <w:t>电动液压篮球架采购项目</w:t>
    </w:r>
    <w:r>
      <w:rPr>
        <w:rFonts w:hint="eastAsia"/>
        <w:strike w:val="0"/>
        <w:dstrike w:val="0"/>
        <w:sz w:val="24"/>
        <w:szCs w:val="32"/>
      </w:rPr>
      <w:t>TDHQ20</w:t>
    </w:r>
    <w:r>
      <w:rPr>
        <w:rFonts w:hint="eastAsia"/>
        <w:strike w:val="0"/>
        <w:dstrike w:val="0"/>
        <w:sz w:val="24"/>
        <w:szCs w:val="32"/>
        <w:lang w:val="en-US" w:eastAsia="zh-CN"/>
      </w:rPr>
      <w:t>20020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B6C5"/>
    <w:multiLevelType w:val="singleLevel"/>
    <w:tmpl w:val="4670B6C5"/>
    <w:lvl w:ilvl="0" w:tentative="0">
      <w:start w:val="2"/>
      <w:numFmt w:val="chineseCounting"/>
      <w:suff w:val="nothing"/>
      <w:lvlText w:val="%1、"/>
      <w:lvlJc w:val="left"/>
      <w:rPr>
        <w:rFonts w:hint="eastAsia"/>
      </w:rPr>
    </w:lvl>
  </w:abstractNum>
  <w:abstractNum w:abstractNumId="1">
    <w:nsid w:val="52ECD831"/>
    <w:multiLevelType w:val="singleLevel"/>
    <w:tmpl w:val="52ECD831"/>
    <w:lvl w:ilvl="0" w:tentative="0">
      <w:start w:val="4"/>
      <w:numFmt w:val="chineseCounting"/>
      <w:suff w:val="space"/>
      <w:lvlText w:val="第%1章"/>
      <w:lvlJc w:val="left"/>
      <w:rPr>
        <w:rFonts w:hint="eastAsia"/>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1DCF"/>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51C63DB"/>
    <w:rsid w:val="07CE59AE"/>
    <w:rsid w:val="086A68D4"/>
    <w:rsid w:val="08C44714"/>
    <w:rsid w:val="091714DD"/>
    <w:rsid w:val="0FC82B99"/>
    <w:rsid w:val="106D5377"/>
    <w:rsid w:val="13D82EC2"/>
    <w:rsid w:val="14472E7F"/>
    <w:rsid w:val="18D337FE"/>
    <w:rsid w:val="1AD06E38"/>
    <w:rsid w:val="1AD404FF"/>
    <w:rsid w:val="20F65E1C"/>
    <w:rsid w:val="22AA75BF"/>
    <w:rsid w:val="30742604"/>
    <w:rsid w:val="33C95F8D"/>
    <w:rsid w:val="33F14299"/>
    <w:rsid w:val="35C43E65"/>
    <w:rsid w:val="3CA33F41"/>
    <w:rsid w:val="41734B12"/>
    <w:rsid w:val="48C46B74"/>
    <w:rsid w:val="4AB7578D"/>
    <w:rsid w:val="4FAC2B77"/>
    <w:rsid w:val="50CC5CDD"/>
    <w:rsid w:val="52172171"/>
    <w:rsid w:val="5874653E"/>
    <w:rsid w:val="5A036AB3"/>
    <w:rsid w:val="5BB02314"/>
    <w:rsid w:val="5C2861AA"/>
    <w:rsid w:val="63F26487"/>
    <w:rsid w:val="685F333B"/>
    <w:rsid w:val="71B119C5"/>
    <w:rsid w:val="736C73EB"/>
    <w:rsid w:val="79485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8"/>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9"/>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Arial"/>
    </w:rPr>
  </w:style>
  <w:style w:type="paragraph" w:styleId="6">
    <w:name w:val="Normal Indent"/>
    <w:basedOn w:val="1"/>
    <w:unhideWhenUsed/>
    <w:qFormat/>
    <w:uiPriority w:val="99"/>
    <w:pPr>
      <w:ind w:firstLine="420" w:firstLineChars="200"/>
    </w:pPr>
  </w:style>
  <w:style w:type="paragraph" w:styleId="8">
    <w:name w:val="annotation text"/>
    <w:basedOn w:val="1"/>
    <w:link w:val="34"/>
    <w:qFormat/>
    <w:uiPriority w:val="0"/>
    <w:pPr>
      <w:jc w:val="left"/>
    </w:pPr>
  </w:style>
  <w:style w:type="paragraph" w:styleId="9">
    <w:name w:val="Plain Text"/>
    <w:basedOn w:val="1"/>
    <w:link w:val="20"/>
    <w:qFormat/>
    <w:uiPriority w:val="99"/>
    <w:rPr>
      <w:rFonts w:ascii="宋体" w:hAnsi="Courier New" w:cs="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1"/>
    <w:qFormat/>
    <w:uiPriority w:val="0"/>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标题 2 Char"/>
    <w:basedOn w:val="16"/>
    <w:link w:val="5"/>
    <w:qFormat/>
    <w:uiPriority w:val="0"/>
    <w:rPr>
      <w:rFonts w:ascii="Arial" w:hAnsi="Arial" w:eastAsia="幼圆" w:cs="Arial"/>
      <w:b/>
      <w:bCs/>
      <w:sz w:val="44"/>
      <w:szCs w:val="44"/>
    </w:rPr>
  </w:style>
  <w:style w:type="character" w:customStyle="1" w:styleId="19">
    <w:name w:val="标题 3 Char"/>
    <w:basedOn w:val="16"/>
    <w:link w:val="7"/>
    <w:qFormat/>
    <w:uiPriority w:val="0"/>
    <w:rPr>
      <w:rFonts w:ascii="Times New Roman" w:hAnsi="Times New Roman" w:eastAsia="宋体" w:cs="Times New Roman"/>
      <w:b/>
      <w:bCs/>
      <w:sz w:val="32"/>
      <w:szCs w:val="32"/>
    </w:rPr>
  </w:style>
  <w:style w:type="character" w:customStyle="1" w:styleId="20">
    <w:name w:val="纯文本 Char"/>
    <w:link w:val="9"/>
    <w:qFormat/>
    <w:locked/>
    <w:uiPriority w:val="99"/>
    <w:rPr>
      <w:rFonts w:ascii="宋体" w:hAnsi="Courier New" w:eastAsia="宋体" w:cs="Courier New"/>
      <w:szCs w:val="21"/>
    </w:rPr>
  </w:style>
  <w:style w:type="character" w:customStyle="1" w:styleId="21">
    <w:name w:val="页脚 Char"/>
    <w:link w:val="11"/>
    <w:qFormat/>
    <w:uiPriority w:val="0"/>
    <w:rPr>
      <w:rFonts w:eastAsia="宋体"/>
      <w:sz w:val="18"/>
      <w:szCs w:val="18"/>
    </w:rPr>
  </w:style>
  <w:style w:type="character" w:customStyle="1" w:styleId="22">
    <w:name w:val="页眉 Char"/>
    <w:link w:val="12"/>
    <w:qFormat/>
    <w:uiPriority w:val="0"/>
    <w:rPr>
      <w:sz w:val="18"/>
      <w:szCs w:val="18"/>
    </w:rPr>
  </w:style>
  <w:style w:type="character" w:customStyle="1" w:styleId="23">
    <w:name w:val="纯文本 Char1"/>
    <w:basedOn w:val="16"/>
    <w:semiHidden/>
    <w:qFormat/>
    <w:uiPriority w:val="99"/>
    <w:rPr>
      <w:rFonts w:ascii="宋体" w:hAnsi="Courier New" w:eastAsia="宋体" w:cs="Courier New"/>
      <w:szCs w:val="21"/>
    </w:rPr>
  </w:style>
  <w:style w:type="character" w:customStyle="1" w:styleId="24">
    <w:name w:val="页眉 Char1"/>
    <w:basedOn w:val="16"/>
    <w:semiHidden/>
    <w:qFormat/>
    <w:uiPriority w:val="99"/>
    <w:rPr>
      <w:rFonts w:ascii="Times New Roman" w:hAnsi="Times New Roman" w:eastAsia="宋体" w:cs="Times New Roman"/>
      <w:sz w:val="18"/>
      <w:szCs w:val="18"/>
    </w:rPr>
  </w:style>
  <w:style w:type="character" w:customStyle="1" w:styleId="25">
    <w:name w:val="页脚 Char1"/>
    <w:basedOn w:val="16"/>
    <w:semiHidden/>
    <w:qFormat/>
    <w:uiPriority w:val="99"/>
    <w:rPr>
      <w:rFonts w:ascii="Times New Roman" w:hAnsi="Times New Roman" w:eastAsia="宋体" w:cs="Times New Roman"/>
      <w:sz w:val="18"/>
      <w:szCs w:val="18"/>
    </w:rPr>
  </w:style>
  <w:style w:type="paragraph" w:customStyle="1" w:styleId="26">
    <w:name w:val="pa-0"/>
    <w:basedOn w:val="1"/>
    <w:qFormat/>
    <w:uiPriority w:val="0"/>
    <w:pPr>
      <w:widowControl/>
      <w:spacing w:before="150" w:after="150"/>
      <w:jc w:val="left"/>
    </w:pPr>
    <w:rPr>
      <w:rFonts w:ascii="宋体" w:hAnsi="宋体" w:cs="宋体"/>
      <w:kern w:val="0"/>
      <w:sz w:val="24"/>
      <w:szCs w:val="24"/>
    </w:rPr>
  </w:style>
  <w:style w:type="paragraph" w:customStyle="1" w:styleId="27">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Char"/>
    <w:basedOn w:val="1"/>
    <w:qFormat/>
    <w:uiPriority w:val="0"/>
    <w:pPr>
      <w:tabs>
        <w:tab w:val="left" w:pos="360"/>
      </w:tabs>
    </w:pPr>
    <w:rPr>
      <w:sz w:val="24"/>
      <w:szCs w:val="24"/>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列出段落2"/>
    <w:basedOn w:val="1"/>
    <w:qFormat/>
    <w:uiPriority w:val="34"/>
    <w:pPr>
      <w:ind w:firstLine="420" w:firstLineChars="200"/>
    </w:pPr>
  </w:style>
  <w:style w:type="paragraph" w:styleId="32">
    <w:name w:val="List Paragraph"/>
    <w:basedOn w:val="1"/>
    <w:link w:val="36"/>
    <w:qFormat/>
    <w:uiPriority w:val="34"/>
    <w:pPr>
      <w:ind w:firstLine="420" w:firstLineChars="200"/>
    </w:pPr>
  </w:style>
  <w:style w:type="character" w:customStyle="1" w:styleId="33">
    <w:name w:val="批注框文本 Char"/>
    <w:basedOn w:val="16"/>
    <w:link w:val="10"/>
    <w:semiHidden/>
    <w:qFormat/>
    <w:uiPriority w:val="99"/>
    <w:rPr>
      <w:rFonts w:ascii="Times New Roman" w:hAnsi="Times New Roman" w:eastAsia="宋体" w:cs="Times New Roman"/>
      <w:kern w:val="2"/>
      <w:sz w:val="18"/>
      <w:szCs w:val="18"/>
    </w:rPr>
  </w:style>
  <w:style w:type="character" w:customStyle="1" w:styleId="34">
    <w:name w:val="批注文字 Char"/>
    <w:basedOn w:val="16"/>
    <w:link w:val="8"/>
    <w:qFormat/>
    <w:uiPriority w:val="0"/>
    <w:rPr>
      <w:rFonts w:ascii="Times New Roman" w:hAnsi="Times New Roman" w:eastAsia="宋体" w:cs="Times New Roman"/>
      <w:kern w:val="2"/>
      <w:sz w:val="21"/>
      <w:szCs w:val="21"/>
    </w:rPr>
  </w:style>
  <w:style w:type="paragraph" w:customStyle="1" w:styleId="3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6">
    <w:name w:val="列出段落 Char"/>
    <w:link w:val="32"/>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25"/>
    <customShpInfo spid="_x0000_s1026"/>
    <customShpInfo spid="_x0000_s1031" textRotate="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2124</Words>
  <Characters>12112</Characters>
  <Lines>100</Lines>
  <Paragraphs>28</Paragraphs>
  <TotalTime>0</TotalTime>
  <ScaleCrop>false</ScaleCrop>
  <LinksUpToDate>false</LinksUpToDate>
  <CharactersWithSpaces>14208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2020-10-22T00:43:54Z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