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南京邮电大学通达学院漏洞扫描系统采购项目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eastAsia="宋体" w:cs="宋体"/>
          <w:b/>
          <w:bCs/>
          <w:sz w:val="56"/>
          <w:szCs w:val="21"/>
          <w:lang w:eastAsia="zh-CN"/>
        </w:rPr>
      </w:pPr>
      <w:r>
        <w:rPr>
          <w:rFonts w:hint="eastAsia" w:ascii="宋体" w:hAnsi="宋体" w:cs="宋体"/>
          <w:b/>
          <w:bCs/>
          <w:sz w:val="56"/>
          <w:szCs w:val="21"/>
          <w:lang w:eastAsia="zh-CN"/>
        </w:rPr>
        <w:t>（二次公告）</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20014</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9</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20823272"/>
      <w:bookmarkStart w:id="2" w:name="_Toc16938516"/>
      <w:bookmarkStart w:id="3" w:name="_Toc513029200"/>
      <w:bookmarkStart w:id="4" w:name="_Toc479757206"/>
      <w:bookmarkStart w:id="5" w:name="_Toc523127445"/>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根据国家招投标的法律法规和南京邮电大学的相关规定，现对南京邮电大学通达学院漏洞扫描系统采购项目进行公开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采购项目名称及编号：南京邮电大学通达学院漏洞扫描系统采购项目。（项目编号TDHQ20</w:t>
      </w:r>
      <w:r>
        <w:rPr>
          <w:rFonts w:hint="eastAsia"/>
          <w:sz w:val="21"/>
          <w:szCs w:val="21"/>
          <w:lang w:val="en-US" w:eastAsia="zh-CN"/>
        </w:rPr>
        <w:t>20014</w:t>
      </w:r>
      <w:r>
        <w:rPr>
          <w:rFonts w:hint="eastAsia"/>
          <w:sz w:val="21"/>
          <w:szCs w:val="21"/>
        </w:rPr>
        <w:t>）</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漏洞扫描系统1套（具体采购数量及要求参见甲方采购文件）。2.项目地点：扬州市润扬南路33号。3.技术条款咨询联系人：黄老师 ，联系电话：0514-89716020。（注：如不咨询，视为已理解该技术指标。）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 产品资质</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.1.1 产品必须具备公安部颁发的《计算机信息系统安全专用产品销售许可证》，认证的产品类型/级别须达到“网络脆弱性扫描（增强级）”；</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.1.2 产品必须具备中国网络安全审查技术与认证中心颁发的《网络关键设备和网络安全专用产品安全认证证书》；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.1.3 产品必须具备中国信息安全测评中心颁发的《国家信息安全测评信息技术产品安全测评证书》, 级别须达到EAL3+；</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.1.4 产品具备全球IPv6测试中心颁发的《IPv6 Ready Logo 认证》证书；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.1.5 产品必须具备国家保密局涉密信息系统安全保密测评中心颁发的符合国家保密标准BMB12－2004《涉及国家秘密的计算机信息系统漏洞扫描产品技术要求》的《涉密信息系统产品检测证书》；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.1.6 产品必须具备中国信息安全测评中心颁发的《国家信息安全漏洞库兼容性资质证书》；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.1.7 产品应具体与漏洞扫描相关的公开专利，要求数量不少于5个；</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.1.8 产品近三年国内市场占有率前三名，提供权威第三方调查机构（IDC）的证明。</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 产品厂商资质(提供截图并加盖原厂公章)</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.2.1 必须具备CNCERT颁发《网络安全应急服务支撑单位证书》，级别须达到国家级；</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.2.2 应为微软MAPP成员，并有48小时内发布产品版本响应微软紧急安全公告能力，请提供微软证明；</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.2.3 应具有符合GB/T 19001-2016/ISO 9001:2015标准的《质量管理体系认证证书》；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.2.4 应具有符合GB/T 28001-2011标准的《职业健康安全管理体系认证证书》；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.2.5 应具备足够的信息安全服务技术实力及安全服务保障能力，获得中国网络安全审查技术与认证中心颁发的信息系统安全运维一级服务资质证书。</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lang w:val="en-US" w:eastAsia="zh-CN"/>
        </w:rPr>
        <w:t>6、</w:t>
      </w:r>
      <w:r>
        <w:rPr>
          <w:rFonts w:hint="eastAsia"/>
          <w:sz w:val="21"/>
          <w:szCs w:val="21"/>
        </w:rPr>
        <w:t>本项目不接受联合体投标。</w:t>
      </w:r>
    </w:p>
    <w:p>
      <w:pPr>
        <w:pStyle w:val="10"/>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24</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六、开标有关信息 :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24</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七、缴纳费用：投标单位须在投标时缴纳100元标书费，1000元项目投标保证金。</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九</w:t>
      </w:r>
      <w:r>
        <w:rPr>
          <w:rFonts w:hint="eastAsia"/>
          <w:sz w:val="21"/>
          <w:szCs w:val="21"/>
        </w:rPr>
        <w:t>月</w:t>
      </w:r>
      <w:r>
        <w:rPr>
          <w:rFonts w:hint="eastAsia"/>
          <w:sz w:val="21"/>
          <w:szCs w:val="21"/>
          <w:lang w:eastAsia="zh-CN"/>
        </w:rPr>
        <w:t>十</w:t>
      </w:r>
      <w:bookmarkStart w:id="79" w:name="_GoBack"/>
      <w:bookmarkEnd w:id="79"/>
      <w:r>
        <w:rPr>
          <w:rFonts w:hint="eastAsia"/>
          <w:sz w:val="21"/>
          <w:szCs w:val="21"/>
          <w:lang w:eastAsia="zh-CN"/>
        </w:rPr>
        <w:t>四</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6938518"/>
      <w:bookmarkStart w:id="9" w:name="_Toc120614213"/>
      <w:bookmarkStart w:id="10" w:name="_Toc513029202"/>
      <w:bookmarkStart w:id="11" w:name="_Toc20823274"/>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513029203"/>
      <w:bookmarkStart w:id="13" w:name="_Toc20823275"/>
      <w:bookmarkStart w:id="14" w:name="_Toc120614214"/>
      <w:bookmarkStart w:id="15" w:name="_Toc16938519"/>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513029242"/>
      <w:bookmarkStart w:id="17" w:name="_Toc479757207"/>
      <w:bookmarkStart w:id="18" w:name="_Toc120614221"/>
      <w:bookmarkStart w:id="19" w:name="_Toc16938558"/>
      <w:bookmarkStart w:id="20" w:name="_Toc20823314"/>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20823315"/>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20614244"/>
      <w:bookmarkStart w:id="27" w:name="_Hlt16619350"/>
      <w:bookmarkStart w:id="28" w:name="_Toc1693859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w:t>
      </w:r>
      <w:r>
        <w:rPr>
          <w:rFonts w:hint="eastAsia" w:ascii="宋体" w:hAnsi="宋体" w:cs="宋体"/>
          <w:bCs/>
          <w:sz w:val="44"/>
          <w:lang w:val="en-US" w:eastAsia="zh-CN"/>
        </w:rPr>
        <w:t xml:space="preserve">  </w:t>
      </w:r>
      <w:r>
        <w:rPr>
          <w:rFonts w:hint="eastAsia" w:ascii="宋体" w:hAnsi="宋体" w:cs="宋体"/>
          <w:bCs/>
          <w:sz w:val="44"/>
          <w:lang w:eastAsia="zh-CN"/>
        </w:rPr>
        <w:t>漏洞扫描系统项目技术要求</w:t>
      </w:r>
      <w:bookmarkStart w:id="31" w:name="_Toc403722970"/>
      <w:bookmarkStart w:id="32" w:name="_Toc194758350"/>
      <w:bookmarkStart w:id="33" w:name="_Toc194757239"/>
    </w:p>
    <w:p>
      <w:pPr>
        <w:rPr>
          <w:rFonts w:hint="eastAsia"/>
        </w:rPr>
      </w:pPr>
    </w:p>
    <w:p>
      <w:pPr>
        <w:numPr>
          <w:ilvl w:val="0"/>
          <w:numId w:val="3"/>
        </w:numPr>
        <w:spacing w:line="360" w:lineRule="auto"/>
        <w:rPr>
          <w:rFonts w:hint="eastAsia"/>
          <w:b/>
          <w:sz w:val="24"/>
        </w:rPr>
      </w:pPr>
      <w:r>
        <w:rPr>
          <w:rFonts w:hint="eastAsia"/>
          <w:b/>
          <w:sz w:val="24"/>
        </w:rPr>
        <w:t>项目介绍</w:t>
      </w:r>
    </w:p>
    <w:p>
      <w:pPr>
        <w:spacing w:line="360" w:lineRule="auto"/>
        <w:rPr>
          <w:rFonts w:hint="eastAsia" w:ascii="宋体" w:hAnsi="宋体"/>
          <w:sz w:val="24"/>
        </w:rPr>
      </w:pPr>
      <w:r>
        <w:rPr>
          <w:rFonts w:hint="eastAsia" w:ascii="宋体" w:hAnsi="宋体"/>
          <w:sz w:val="24"/>
        </w:rPr>
        <w:tab/>
      </w:r>
      <w:r>
        <w:rPr>
          <w:rFonts w:hint="eastAsia" w:ascii="宋体" w:hAnsi="宋体"/>
          <w:sz w:val="24"/>
        </w:rPr>
        <w:t>为避免学院一卡通系统</w:t>
      </w:r>
      <w:r>
        <w:rPr>
          <w:rFonts w:ascii="Arial" w:hAnsi="Arial" w:cs="Arial"/>
          <w:sz w:val="24"/>
          <w:shd w:val="clear" w:color="auto" w:fill="FFFFFF"/>
        </w:rPr>
        <w:t>在硬件、软件</w:t>
      </w:r>
      <w:r>
        <w:rPr>
          <w:rFonts w:hint="eastAsia" w:ascii="Arial" w:hAnsi="Arial" w:cs="Arial"/>
          <w:sz w:val="24"/>
          <w:shd w:val="clear" w:color="auto" w:fill="FFFFFF"/>
        </w:rPr>
        <w:t>或</w:t>
      </w:r>
      <w:r>
        <w:rPr>
          <w:rFonts w:ascii="Arial" w:hAnsi="Arial" w:cs="Arial"/>
          <w:sz w:val="24"/>
          <w:shd w:val="clear" w:color="auto" w:fill="FFFFFF"/>
        </w:rPr>
        <w:t>协议</w:t>
      </w:r>
      <w:r>
        <w:rPr>
          <w:rFonts w:hint="eastAsia" w:ascii="Arial" w:hAnsi="Arial" w:cs="Arial"/>
          <w:sz w:val="24"/>
          <w:shd w:val="clear" w:color="auto" w:fill="FFFFFF"/>
        </w:rPr>
        <w:t>存在</w:t>
      </w:r>
      <w:r>
        <w:rPr>
          <w:rFonts w:ascii="Arial" w:hAnsi="Arial" w:cs="Arial"/>
          <w:sz w:val="24"/>
          <w:shd w:val="clear" w:color="auto" w:fill="FFFFFF"/>
        </w:rPr>
        <w:t>漏洞的具体实现或系统安全策略上存在的缺陷，</w:t>
      </w:r>
      <w:r>
        <w:rPr>
          <w:rFonts w:hint="eastAsia" w:ascii="Arial" w:hAnsi="Arial" w:cs="Arial"/>
          <w:sz w:val="24"/>
          <w:shd w:val="clear" w:color="auto" w:fill="FFFFFF"/>
        </w:rPr>
        <w:t>可能对系统</w:t>
      </w:r>
      <w:r>
        <w:rPr>
          <w:rFonts w:ascii="Arial" w:hAnsi="Arial" w:cs="Arial"/>
          <w:sz w:val="24"/>
          <w:shd w:val="clear" w:color="auto" w:fill="FFFFFF"/>
        </w:rPr>
        <w:t>中的组成和数据造成损害</w:t>
      </w:r>
      <w:r>
        <w:rPr>
          <w:rFonts w:hint="eastAsia" w:ascii="Arial" w:hAnsi="Arial" w:cs="Arial"/>
          <w:sz w:val="24"/>
          <w:shd w:val="clear" w:color="auto" w:fill="FFFFFF"/>
        </w:rPr>
        <w:t>；使一卡通系统</w:t>
      </w:r>
      <w:r>
        <w:rPr>
          <w:rFonts w:ascii="Arial" w:hAnsi="Arial" w:cs="Arial"/>
          <w:sz w:val="24"/>
          <w:shd w:val="clear" w:color="auto" w:fill="FFFFFF"/>
        </w:rPr>
        <w:t>不因偶然的或者恶意的原因而遭受到破坏、更改、泄露</w:t>
      </w:r>
      <w:r>
        <w:rPr>
          <w:rFonts w:hint="eastAsia" w:ascii="Arial" w:hAnsi="Arial" w:cs="Arial"/>
          <w:sz w:val="24"/>
          <w:shd w:val="clear" w:color="auto" w:fill="FFFFFF"/>
        </w:rPr>
        <w:t>；增强系统防护能力，使一卡通系统</w:t>
      </w:r>
      <w:r>
        <w:rPr>
          <w:rFonts w:ascii="Arial" w:hAnsi="Arial" w:cs="Arial"/>
          <w:sz w:val="24"/>
          <w:shd w:val="clear" w:color="auto" w:fill="FFFFFF"/>
        </w:rPr>
        <w:t>数据受到保护</w:t>
      </w:r>
      <w:r>
        <w:rPr>
          <w:rFonts w:hint="eastAsia" w:ascii="Arial" w:hAnsi="Arial" w:cs="Arial"/>
          <w:sz w:val="24"/>
          <w:shd w:val="clear" w:color="auto" w:fill="FFFFFF"/>
        </w:rPr>
        <w:t>，保障</w:t>
      </w:r>
      <w:r>
        <w:rPr>
          <w:rFonts w:ascii="Arial" w:hAnsi="Arial" w:cs="Arial"/>
          <w:sz w:val="24"/>
          <w:shd w:val="clear" w:color="auto" w:fill="FFFFFF"/>
        </w:rPr>
        <w:t>系统连续可靠正常地运行</w:t>
      </w:r>
      <w:r>
        <w:rPr>
          <w:rFonts w:hint="eastAsia" w:ascii="Arial" w:hAnsi="Arial" w:cs="Arial"/>
          <w:sz w:val="24"/>
          <w:shd w:val="clear" w:color="auto" w:fill="FFFFFF"/>
        </w:rPr>
        <w:t>；</w:t>
      </w:r>
      <w:r>
        <w:rPr>
          <w:rFonts w:hint="eastAsia" w:ascii="宋体" w:hAnsi="宋体"/>
          <w:sz w:val="24"/>
        </w:rPr>
        <w:t>保障南京邮电大学通达学院一卡通系统络</w:t>
      </w:r>
      <w:r>
        <w:rPr>
          <w:rFonts w:ascii="Arial" w:hAnsi="Arial" w:cs="Arial"/>
          <w:sz w:val="24"/>
          <w:shd w:val="clear" w:color="auto" w:fill="FFFFFF"/>
        </w:rPr>
        <w:t>系统</w:t>
      </w:r>
      <w:r>
        <w:rPr>
          <w:rFonts w:hint="eastAsia" w:ascii="Arial" w:hAnsi="Arial" w:cs="Arial"/>
          <w:sz w:val="24"/>
          <w:shd w:val="clear" w:color="auto" w:fill="FFFFFF"/>
        </w:rPr>
        <w:t>安全；使</w:t>
      </w:r>
      <w:r>
        <w:rPr>
          <w:rFonts w:hint="eastAsia" w:ascii="宋体" w:hAnsi="宋体"/>
          <w:sz w:val="24"/>
        </w:rPr>
        <w:t>一卡通系统达到国家网络安全法规规定的要求。通达学院拟采购网络漏洞扫描系统一套。</w:t>
      </w:r>
    </w:p>
    <w:p>
      <w:pPr>
        <w:numPr>
          <w:ilvl w:val="0"/>
          <w:numId w:val="3"/>
        </w:numPr>
        <w:spacing w:line="360" w:lineRule="auto"/>
        <w:rPr>
          <w:rFonts w:ascii="宋体" w:hAnsi="宋体"/>
          <w:b/>
          <w:sz w:val="24"/>
        </w:rPr>
      </w:pPr>
      <w:r>
        <w:rPr>
          <w:rFonts w:hint="eastAsia" w:ascii="宋体" w:hAnsi="宋体"/>
          <w:b/>
          <w:sz w:val="24"/>
        </w:rPr>
        <w:t>技术要求</w:t>
      </w:r>
    </w:p>
    <w:tbl>
      <w:tblPr>
        <w:tblStyle w:val="11"/>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66"/>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5" w:type="dxa"/>
            <w:shd w:val="clear" w:color="auto" w:fill="auto"/>
            <w:noWrap w:val="0"/>
            <w:vAlign w:val="top"/>
          </w:tcPr>
          <w:p>
            <w:pPr>
              <w:jc w:val="center"/>
              <w:rPr>
                <w:rFonts w:ascii="Arial" w:hAnsi="Arial"/>
                <w:b/>
                <w:sz w:val="24"/>
              </w:rPr>
            </w:pPr>
            <w:r>
              <w:rPr>
                <w:rFonts w:hint="eastAsia" w:ascii="Arial" w:hAnsi="Arial"/>
                <w:b/>
                <w:sz w:val="24"/>
              </w:rPr>
              <w:t>序号</w:t>
            </w:r>
          </w:p>
        </w:tc>
        <w:tc>
          <w:tcPr>
            <w:tcW w:w="1466" w:type="dxa"/>
            <w:shd w:val="clear" w:color="auto" w:fill="auto"/>
            <w:noWrap w:val="0"/>
            <w:vAlign w:val="center"/>
          </w:tcPr>
          <w:p>
            <w:pPr>
              <w:jc w:val="center"/>
              <w:rPr>
                <w:rFonts w:ascii="Arial" w:hAnsi="Arial"/>
                <w:b/>
                <w:sz w:val="24"/>
              </w:rPr>
            </w:pPr>
            <w:r>
              <w:rPr>
                <w:rFonts w:hint="eastAsia" w:ascii="Arial" w:hAnsi="Arial"/>
                <w:b/>
                <w:sz w:val="24"/>
              </w:rPr>
              <w:t>指标项</w:t>
            </w:r>
          </w:p>
        </w:tc>
        <w:tc>
          <w:tcPr>
            <w:tcW w:w="6516" w:type="dxa"/>
            <w:shd w:val="clear" w:color="auto" w:fill="auto"/>
            <w:noWrap w:val="0"/>
            <w:vAlign w:val="center"/>
          </w:tcPr>
          <w:p>
            <w:pPr>
              <w:jc w:val="center"/>
              <w:rPr>
                <w:rFonts w:ascii="Arial" w:hAnsi="Arial"/>
                <w:b/>
                <w:sz w:val="24"/>
              </w:rPr>
            </w:pPr>
            <w:r>
              <w:rPr>
                <w:rFonts w:hint="eastAsia" w:ascii="Arial" w:hAnsi="Arial"/>
                <w:b/>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restart"/>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restart"/>
            <w:shd w:val="clear" w:color="auto" w:fill="auto"/>
            <w:noWrap w:val="0"/>
            <w:vAlign w:val="center"/>
          </w:tcPr>
          <w:p>
            <w:pPr>
              <w:spacing w:line="276" w:lineRule="auto"/>
              <w:rPr>
                <w:rFonts w:ascii="宋体" w:hAnsi="宋体" w:cs="宋体"/>
                <w:color w:val="000000"/>
                <w:sz w:val="24"/>
              </w:rPr>
            </w:pPr>
            <w:r>
              <w:rPr>
                <w:rFonts w:hint="eastAsia" w:ascii="宋体" w:hAnsi="宋体" w:cs="Arial"/>
                <w:sz w:val="24"/>
              </w:rPr>
              <w:t>★</w:t>
            </w:r>
            <w:r>
              <w:rPr>
                <w:rFonts w:hint="eastAsia" w:ascii="宋体" w:hAnsi="宋体" w:cs="宋体"/>
                <w:color w:val="000000"/>
                <w:sz w:val="24"/>
              </w:rPr>
              <w:t>配置要求</w:t>
            </w:r>
          </w:p>
        </w:tc>
        <w:tc>
          <w:tcPr>
            <w:tcW w:w="6516" w:type="dxa"/>
            <w:shd w:val="clear" w:color="auto" w:fill="auto"/>
            <w:noWrap w:val="0"/>
            <w:vAlign w:val="center"/>
          </w:tcPr>
          <w:p>
            <w:pPr>
              <w:spacing w:line="276" w:lineRule="auto"/>
              <w:ind w:firstLine="90" w:firstLineChars="50"/>
              <w:rPr>
                <w:rFonts w:ascii="宋体" w:hAnsi="宋体" w:cs="宋体"/>
                <w:color w:val="000000"/>
                <w:sz w:val="18"/>
                <w:szCs w:val="18"/>
              </w:rPr>
            </w:pPr>
            <w:r>
              <w:rPr>
                <w:rFonts w:hint="eastAsia" w:ascii="宋体" w:hAnsi="宋体" w:cs="宋体"/>
                <w:color w:val="000000"/>
                <w:sz w:val="18"/>
                <w:szCs w:val="18"/>
              </w:rPr>
              <w:t>系统采用B/S架构设计，</w:t>
            </w:r>
            <w:r>
              <w:rPr>
                <w:rFonts w:hint="eastAsia" w:ascii="宋体" w:hAnsi="宋体" w:cs="宋体"/>
                <w:color w:val="000000"/>
                <w:kern w:val="0"/>
                <w:sz w:val="18"/>
                <w:szCs w:val="18"/>
                <w:lang w:bidi="ar"/>
              </w:rPr>
              <w:t>具有完全自主知识产权的专用安全操作系统</w:t>
            </w:r>
            <w:r>
              <w:rPr>
                <w:rFonts w:hint="eastAsia" w:ascii="宋体" w:hAnsi="宋体" w:cs="宋体"/>
                <w:color w:val="000000"/>
                <w:sz w:val="18"/>
                <w:szCs w:val="18"/>
              </w:rPr>
              <w:t>，用以确保设备的安全性和工作效率。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color w:val="000000"/>
                <w:sz w:val="24"/>
              </w:rPr>
            </w:pPr>
          </w:p>
        </w:tc>
        <w:tc>
          <w:tcPr>
            <w:tcW w:w="6516" w:type="dxa"/>
            <w:shd w:val="clear" w:color="auto" w:fill="auto"/>
            <w:noWrap w:val="0"/>
            <w:vAlign w:val="center"/>
          </w:tcPr>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标准1U机架式设备，</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RJ45串口</w:t>
            </w:r>
            <w:r>
              <w:rPr>
                <w:rFonts w:hint="eastAsia" w:ascii="宋体" w:hAnsi="宋体" w:cs="宋体"/>
                <w:color w:val="000000"/>
                <w:sz w:val="18"/>
                <w:szCs w:val="18"/>
              </w:rPr>
              <w:sym w:font="Symbol" w:char="F0B3"/>
            </w:r>
            <w:r>
              <w:rPr>
                <w:rFonts w:hint="eastAsia" w:ascii="宋体" w:hAnsi="宋体" w:cs="宋体"/>
                <w:color w:val="000000"/>
                <w:sz w:val="18"/>
                <w:szCs w:val="18"/>
              </w:rPr>
              <w:t xml:space="preserve">1， </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GE管理口</w:t>
            </w:r>
            <w:r>
              <w:rPr>
                <w:rFonts w:hint="eastAsia" w:ascii="宋体" w:hAnsi="宋体" w:cs="宋体"/>
                <w:color w:val="000000"/>
                <w:sz w:val="18"/>
                <w:szCs w:val="18"/>
              </w:rPr>
              <w:sym w:font="Symbol" w:char="F0B3"/>
            </w:r>
            <w:r>
              <w:rPr>
                <w:rFonts w:hint="eastAsia" w:ascii="宋体" w:hAnsi="宋体" w:cs="宋体"/>
                <w:color w:val="000000"/>
                <w:sz w:val="18"/>
                <w:szCs w:val="18"/>
              </w:rPr>
              <w:t>1个，</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10M/100M/1000M自适应以太网电口扫描口</w:t>
            </w:r>
            <w:r>
              <w:rPr>
                <w:rFonts w:hint="eastAsia" w:ascii="宋体" w:hAnsi="宋体" w:cs="宋体"/>
                <w:color w:val="000000"/>
                <w:sz w:val="18"/>
                <w:szCs w:val="18"/>
              </w:rPr>
              <w:sym w:font="Symbol" w:char="F0B3"/>
            </w:r>
            <w:r>
              <w:rPr>
                <w:rFonts w:hint="eastAsia" w:ascii="宋体" w:hAnsi="宋体" w:cs="宋体"/>
                <w:color w:val="000000"/>
                <w:sz w:val="18"/>
                <w:szCs w:val="18"/>
              </w:rPr>
              <w:t xml:space="preserve">4， </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千兆SFP插槽</w:t>
            </w:r>
            <w:r>
              <w:rPr>
                <w:rFonts w:hint="eastAsia" w:ascii="宋体" w:hAnsi="宋体" w:cs="宋体"/>
                <w:color w:val="000000"/>
                <w:sz w:val="18"/>
                <w:szCs w:val="18"/>
              </w:rPr>
              <w:sym w:font="Symbol" w:char="F0B3"/>
            </w:r>
            <w:r>
              <w:rPr>
                <w:rFonts w:hint="eastAsia" w:ascii="宋体" w:hAnsi="宋体" w:cs="宋体"/>
                <w:color w:val="000000"/>
                <w:sz w:val="18"/>
                <w:szCs w:val="18"/>
              </w:rPr>
              <w:t>4，</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提供授权扫描端口</w:t>
            </w:r>
            <w:r>
              <w:rPr>
                <w:rFonts w:hint="eastAsia" w:ascii="宋体" w:hAnsi="宋体" w:cs="宋体"/>
                <w:color w:val="000000"/>
                <w:sz w:val="18"/>
                <w:szCs w:val="18"/>
              </w:rPr>
              <w:sym w:font="Symbol" w:char="F0B3"/>
            </w:r>
            <w:r>
              <w:rPr>
                <w:rFonts w:hint="eastAsia" w:ascii="宋体" w:hAnsi="宋体" w:cs="宋体"/>
                <w:color w:val="000000"/>
                <w:sz w:val="18"/>
                <w:szCs w:val="18"/>
              </w:rPr>
              <w:t>1。</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最大授权可扫描总数量</w:t>
            </w:r>
            <w:r>
              <w:rPr>
                <w:rFonts w:hint="eastAsia" w:ascii="宋体" w:hAnsi="宋体" w:cs="宋体"/>
                <w:color w:val="000000"/>
                <w:sz w:val="18"/>
                <w:szCs w:val="18"/>
              </w:rPr>
              <w:sym w:font="Symbol" w:char="F0B3"/>
            </w:r>
            <w:r>
              <w:rPr>
                <w:rFonts w:hint="eastAsia" w:ascii="宋体" w:hAnsi="宋体" w:cs="宋体"/>
                <w:color w:val="000000"/>
                <w:sz w:val="18"/>
                <w:szCs w:val="18"/>
              </w:rPr>
              <w:t>100无IP地址限制范围。</w:t>
            </w:r>
          </w:p>
          <w:p>
            <w:pPr>
              <w:spacing w:line="276" w:lineRule="auto"/>
              <w:ind w:firstLine="90" w:firstLineChars="50"/>
              <w:rPr>
                <w:rFonts w:ascii="宋体" w:hAnsi="宋体" w:cs="宋体"/>
                <w:color w:val="000000"/>
                <w:sz w:val="18"/>
                <w:szCs w:val="18"/>
              </w:rPr>
            </w:pPr>
            <w:r>
              <w:rPr>
                <w:rFonts w:hint="eastAsia" w:ascii="宋体" w:hAnsi="宋体" w:cs="宋体"/>
                <w:color w:val="000000"/>
                <w:sz w:val="18"/>
                <w:szCs w:val="18"/>
              </w:rPr>
              <w:t>交流电源。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firstLine="90" w:firstLineChars="50"/>
              <w:rPr>
                <w:rFonts w:ascii="宋体" w:hAnsi="宋体" w:cs="宋体"/>
                <w:color w:val="000000"/>
                <w:sz w:val="18"/>
                <w:szCs w:val="18"/>
              </w:rPr>
            </w:pPr>
            <w:r>
              <w:rPr>
                <w:rFonts w:hint="eastAsia" w:ascii="宋体" w:hAnsi="宋体" w:cs="宋体"/>
                <w:sz w:val="18"/>
                <w:szCs w:val="18"/>
              </w:rPr>
              <w:t>支持IPv4和IPv6环境的部署和扫描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restart"/>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restart"/>
            <w:shd w:val="clear" w:color="auto" w:fill="auto"/>
            <w:noWrap w:val="0"/>
            <w:vAlign w:val="center"/>
          </w:tcPr>
          <w:p>
            <w:pPr>
              <w:spacing w:line="276" w:lineRule="auto"/>
              <w:jc w:val="center"/>
              <w:rPr>
                <w:rFonts w:ascii="宋体" w:hAnsi="宋体" w:cs="宋体"/>
                <w:sz w:val="24"/>
              </w:rPr>
            </w:pPr>
            <w:bookmarkStart w:id="34" w:name="_Hlk524543099"/>
            <w:r>
              <w:rPr>
                <w:rFonts w:hint="eastAsia" w:ascii="宋体" w:hAnsi="宋体" w:cs="宋体"/>
                <w:sz w:val="24"/>
              </w:rPr>
              <w:t>漏洞管理与分析</w:t>
            </w:r>
            <w:bookmarkEnd w:id="34"/>
          </w:p>
        </w:tc>
        <w:tc>
          <w:tcPr>
            <w:tcW w:w="6516" w:type="dxa"/>
            <w:shd w:val="clear" w:color="auto" w:fill="auto"/>
            <w:noWrap w:val="0"/>
            <w:vAlign w:val="center"/>
          </w:tcPr>
          <w:p>
            <w:pPr>
              <w:spacing w:line="276" w:lineRule="auto"/>
              <w:ind w:left="216" w:hanging="216" w:hangingChars="120"/>
              <w:jc w:val="left"/>
              <w:rPr>
                <w:rFonts w:ascii="宋体" w:hAnsi="宋体" w:cs="宋体"/>
                <w:sz w:val="18"/>
                <w:szCs w:val="18"/>
              </w:rPr>
            </w:pPr>
            <w:r>
              <w:rPr>
                <w:rFonts w:hint="eastAsia" w:ascii="宋体" w:hAnsi="宋体"/>
                <w:color w:val="000000"/>
                <w:sz w:val="18"/>
                <w:szCs w:val="18"/>
              </w:rPr>
              <w:t>★</w:t>
            </w:r>
            <w:bookmarkStart w:id="35" w:name="_Hlk524543179"/>
            <w:r>
              <w:rPr>
                <w:rFonts w:hint="eastAsia" w:ascii="宋体" w:hAnsi="宋体"/>
                <w:color w:val="000000"/>
                <w:sz w:val="18"/>
                <w:szCs w:val="18"/>
              </w:rPr>
              <w:t xml:space="preserve">  </w:t>
            </w:r>
            <w:r>
              <w:rPr>
                <w:rFonts w:hint="eastAsia" w:ascii="宋体" w:hAnsi="宋体" w:cs="宋体"/>
                <w:sz w:val="18"/>
                <w:szCs w:val="18"/>
              </w:rPr>
              <w:t>漏洞知识库漏洞信息</w:t>
            </w:r>
            <w:r>
              <w:rPr>
                <w:rFonts w:hint="eastAsia" w:ascii="宋体" w:hAnsi="宋体" w:cs="宋体"/>
                <w:color w:val="000000"/>
                <w:sz w:val="18"/>
                <w:szCs w:val="18"/>
              </w:rPr>
              <w:sym w:font="Symbol" w:char="F0B3"/>
            </w:r>
            <w:r>
              <w:rPr>
                <w:rFonts w:ascii="宋体" w:hAnsi="宋体" w:cs="宋体"/>
                <w:sz w:val="18"/>
                <w:szCs w:val="18"/>
              </w:rPr>
              <w:t>150</w:t>
            </w:r>
            <w:r>
              <w:rPr>
                <w:rFonts w:hint="eastAsia" w:ascii="宋体" w:hAnsi="宋体" w:cs="宋体"/>
                <w:sz w:val="18"/>
                <w:szCs w:val="18"/>
              </w:rPr>
              <w:t>000条, 提供详细的漏洞描述和对应的解决方案描述。</w:t>
            </w:r>
            <w:bookmarkEnd w:id="35"/>
            <w:r>
              <w:rPr>
                <w:rFonts w:hint="eastAsia" w:ascii="宋体" w:hAnsi="宋体" w:cs="宋体"/>
                <w:sz w:val="18"/>
                <w:szCs w:val="18"/>
              </w:rPr>
              <w:t>提供功能截图，并加盖鲜红公章。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numPr>
                <w:ilvl w:val="1"/>
                <w:numId w:val="4"/>
              </w:numPr>
              <w:tabs>
                <w:tab w:val="clear" w:pos="780"/>
              </w:tabs>
              <w:spacing w:line="276" w:lineRule="auto"/>
              <w:ind w:left="216" w:hanging="216"/>
              <w:jc w:val="left"/>
              <w:rPr>
                <w:rFonts w:ascii="宋体" w:hAnsi="宋体" w:cs="宋体"/>
                <w:sz w:val="18"/>
                <w:szCs w:val="18"/>
              </w:rPr>
            </w:pPr>
            <w:r>
              <w:rPr>
                <w:rFonts w:hint="eastAsia" w:ascii="宋体" w:hAnsi="宋体" w:cs="宋体"/>
                <w:sz w:val="18"/>
                <w:szCs w:val="18"/>
              </w:rPr>
              <w:t xml:space="preserve">  支持专门针对DNS服务的安全漏洞检测，具有DNS投毒等漏洞检测能力；支持“幽灵木马”检测。提供功能截图，加盖鲜红公章。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4" w:leftChars="85" w:hanging="36" w:hangingChars="20"/>
              <w:jc w:val="left"/>
              <w:rPr>
                <w:rFonts w:ascii="宋体" w:hAnsi="宋体" w:cs="宋体"/>
                <w:sz w:val="18"/>
                <w:szCs w:val="18"/>
              </w:rPr>
            </w:pPr>
            <w:r>
              <w:rPr>
                <w:rFonts w:hint="eastAsia" w:ascii="宋体" w:hAnsi="宋体" w:cs="宋体"/>
                <w:sz w:val="18"/>
                <w:szCs w:val="18"/>
              </w:rPr>
              <w:t>提供高级漏洞模板过滤器，支持将符合筛选条件的漏洞自动加入到自定义漏洞模板中，及后续插件升级包中的漏洞也可以自动加入到模板中。提供功能截图。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36" w:name="_Hlk524543193"/>
            <w:r>
              <w:rPr>
                <w:rFonts w:hint="eastAsia" w:ascii="宋体" w:hAnsi="宋体" w:cs="宋体"/>
                <w:sz w:val="18"/>
                <w:szCs w:val="18"/>
              </w:rPr>
              <w:t>支持扫描主流虚拟机管理系统的安全漏洞，如：VMWareESX/ESXi，要求能够扫描</w:t>
            </w:r>
            <w:r>
              <w:rPr>
                <w:rFonts w:hint="eastAsia" w:ascii="宋体" w:hAnsi="宋体" w:cs="宋体"/>
                <w:color w:val="000000"/>
                <w:sz w:val="18"/>
                <w:szCs w:val="18"/>
              </w:rPr>
              <w:sym w:font="Symbol" w:char="F0B3"/>
            </w:r>
            <w:r>
              <w:rPr>
                <w:rFonts w:hint="eastAsia" w:ascii="宋体" w:hAnsi="宋体" w:cs="宋体"/>
                <w:sz w:val="18"/>
                <w:szCs w:val="18"/>
              </w:rPr>
              <w:t>300条相关漏洞</w:t>
            </w:r>
            <w:bookmarkEnd w:id="36"/>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37" w:name="_Hlk524543200"/>
            <w:r>
              <w:rPr>
                <w:rFonts w:hint="eastAsia" w:ascii="宋体" w:hAnsi="宋体" w:cs="宋体"/>
                <w:sz w:val="18"/>
                <w:szCs w:val="18"/>
              </w:rPr>
              <w:t>提供通过资产树对资产进行分级管理，支持设备权重设置和可信设备登记，支持将资产信息批量导入到资产树，可在资产树上直接指定主机开展扫描任务</w:t>
            </w:r>
            <w:bookmarkEnd w:id="37"/>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hanging="216" w:hangingChars="120"/>
              <w:jc w:val="left"/>
              <w:rPr>
                <w:rFonts w:ascii="宋体" w:hAnsi="宋体" w:cs="宋体"/>
                <w:sz w:val="18"/>
                <w:szCs w:val="18"/>
              </w:rPr>
            </w:pPr>
            <w:r>
              <w:rPr>
                <w:rFonts w:hint="eastAsia" w:ascii="宋体" w:hAnsi="宋体" w:cs="宋体"/>
                <w:sz w:val="18"/>
                <w:szCs w:val="18"/>
              </w:rPr>
              <w:t>★</w:t>
            </w:r>
            <w:bookmarkStart w:id="38" w:name="_Hlk524543207"/>
            <w:r>
              <w:rPr>
                <w:rFonts w:hint="eastAsia" w:ascii="宋体" w:hAnsi="宋体" w:cs="宋体"/>
                <w:sz w:val="18"/>
                <w:szCs w:val="18"/>
              </w:rPr>
              <w:t xml:space="preserve">   支持风险告警和风险闭环处理，可在集中告警平台灵活配置告警内容、告警方式、告警资产范围等，支持邮件和页面告警，支持单个或批量修改风险状态</w:t>
            </w:r>
            <w:bookmarkEnd w:id="38"/>
            <w:r>
              <w:rPr>
                <w:rFonts w:hint="eastAsia" w:ascii="宋体" w:hAnsi="宋体" w:cs="宋体"/>
                <w:sz w:val="18"/>
                <w:szCs w:val="18"/>
              </w:rPr>
              <w:t>。请提供功能截图，加盖鲜红公章。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39" w:name="_Hlk524543211"/>
            <w:r>
              <w:rPr>
                <w:rFonts w:hint="eastAsia" w:ascii="宋体" w:hAnsi="宋体" w:cs="宋体"/>
                <w:sz w:val="18"/>
                <w:szCs w:val="18"/>
              </w:rPr>
              <w:t>支持自定义风险值计算标准配置，可对主机风险等级评定标准和网络风险等级评定标准进行自定义</w:t>
            </w:r>
            <w:bookmarkEnd w:id="39"/>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40" w:name="_Hlk524543220"/>
            <w:r>
              <w:rPr>
                <w:rFonts w:hint="eastAsia" w:ascii="宋体" w:hAnsi="宋体" w:cs="宋体"/>
                <w:sz w:val="18"/>
                <w:szCs w:val="18"/>
              </w:rPr>
              <w:t>支持实现显示扫描结果，包括扫描进度、主机存活数、预计扫描时间、漏洞风险信息</w:t>
            </w:r>
            <w:bookmarkEnd w:id="40"/>
            <w:r>
              <w:rPr>
                <w:rFonts w:hint="eastAsia" w:ascii="宋体" w:hAnsi="宋体" w:cs="宋体"/>
                <w:sz w:val="18"/>
                <w:szCs w:val="18"/>
              </w:rPr>
              <w:t>等。请提供功能截图。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top"/>
          </w:tcPr>
          <w:p>
            <w:pPr>
              <w:spacing w:line="276" w:lineRule="auto"/>
              <w:ind w:left="216"/>
              <w:jc w:val="left"/>
              <w:rPr>
                <w:rFonts w:ascii="宋体" w:hAnsi="宋体" w:cs="宋体"/>
                <w:sz w:val="18"/>
                <w:szCs w:val="18"/>
              </w:rPr>
            </w:pPr>
            <w:bookmarkStart w:id="41" w:name="_Hlk524543225"/>
            <w:r>
              <w:rPr>
                <w:rFonts w:hint="eastAsia" w:ascii="宋体" w:hAnsi="宋体" w:cs="宋体"/>
                <w:sz w:val="18"/>
                <w:szCs w:val="18"/>
              </w:rPr>
              <w:t>支持断点续扫，可对已完成的扫描任务中没有被覆盖到的目标重新下发扫描任务</w:t>
            </w:r>
            <w:bookmarkEnd w:id="41"/>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42" w:name="_Hlk524543229"/>
            <w:r>
              <w:rPr>
                <w:rFonts w:hint="eastAsia" w:ascii="宋体" w:hAnsi="宋体" w:cs="宋体"/>
                <w:sz w:val="18"/>
                <w:szCs w:val="18"/>
              </w:rPr>
              <w:t>支持扫描时间段控制，只在指定时间段内执行任务，未完成任务在下一时间段自动继续执行</w:t>
            </w:r>
            <w:bookmarkEnd w:id="42"/>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43" w:name="_Hlk524543234"/>
            <w:r>
              <w:rPr>
                <w:rFonts w:hint="eastAsia" w:ascii="宋体" w:hAnsi="宋体" w:cs="宋体"/>
                <w:sz w:val="18"/>
                <w:szCs w:val="18"/>
              </w:rPr>
              <w:t>支持复用已有任务配置用于新的扫描任务</w:t>
            </w:r>
            <w:bookmarkEnd w:id="43"/>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r>
              <w:rPr>
                <w:rFonts w:hint="eastAsia" w:ascii="宋体" w:hAnsi="宋体" w:cs="宋体"/>
                <w:sz w:val="18"/>
                <w:szCs w:val="18"/>
              </w:rPr>
              <w:t>提供灵活的报表自定义，可定制报表标题、封面logo、报表页眉和页脚、报表各章节显示内容。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5" w:type="dxa"/>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shd w:val="clear" w:color="auto" w:fill="auto"/>
            <w:noWrap w:val="0"/>
            <w:vAlign w:val="center"/>
          </w:tcPr>
          <w:p>
            <w:pPr>
              <w:spacing w:line="276" w:lineRule="auto"/>
              <w:jc w:val="center"/>
              <w:rPr>
                <w:rFonts w:ascii="宋体" w:hAnsi="宋体" w:cs="宋体"/>
                <w:sz w:val="24"/>
              </w:rPr>
            </w:pPr>
            <w:bookmarkStart w:id="44" w:name="_Hlk524543122"/>
            <w:r>
              <w:rPr>
                <w:rFonts w:hint="eastAsia" w:ascii="宋体" w:hAnsi="宋体" w:cs="宋体"/>
                <w:sz w:val="24"/>
              </w:rPr>
              <w:t>带弱口令扫描</w:t>
            </w:r>
            <w:bookmarkEnd w:id="44"/>
          </w:p>
        </w:tc>
        <w:tc>
          <w:tcPr>
            <w:tcW w:w="6516" w:type="dxa"/>
            <w:shd w:val="clear" w:color="auto" w:fill="auto"/>
            <w:noWrap w:val="0"/>
            <w:vAlign w:val="center"/>
          </w:tcPr>
          <w:p>
            <w:pPr>
              <w:spacing w:line="276" w:lineRule="auto"/>
              <w:ind w:left="214" w:leftChars="102"/>
              <w:jc w:val="left"/>
              <w:rPr>
                <w:rFonts w:ascii="等线" w:hAnsi="等线" w:eastAsia="等线" w:cs="宋体"/>
                <w:sz w:val="18"/>
                <w:szCs w:val="18"/>
              </w:rPr>
            </w:pPr>
            <w:bookmarkStart w:id="45" w:name="_Hlk524543318"/>
            <w:r>
              <w:rPr>
                <w:rFonts w:hint="eastAsia" w:ascii="宋体" w:hAnsi="宋体" w:cs="宋体"/>
                <w:sz w:val="18"/>
                <w:szCs w:val="18"/>
              </w:rPr>
              <w:t>具备单独口令猜测扫描任务，支持多种口令猜测方式，包括利用SMB、TELNET、FTP、SSH、POP3、TOMCAT、SQL SERVER、MYSQL、ORACLE、SYBASE、DB2、SNMP等协议进行口令猜测，允许外挂用户提供的用户名字典、密码字典和用户名密码组合字典</w:t>
            </w:r>
            <w:bookmarkEnd w:id="45"/>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5" w:type="dxa"/>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shd w:val="clear" w:color="auto" w:fill="auto"/>
            <w:noWrap w:val="0"/>
            <w:vAlign w:val="center"/>
          </w:tcPr>
          <w:p>
            <w:pPr>
              <w:spacing w:line="276" w:lineRule="auto"/>
              <w:jc w:val="center"/>
              <w:rPr>
                <w:rFonts w:ascii="宋体" w:hAnsi="宋体" w:cs="宋体"/>
                <w:sz w:val="24"/>
              </w:rPr>
            </w:pPr>
            <w:bookmarkStart w:id="46" w:name="_Hlk524543135"/>
            <w:r>
              <w:rPr>
                <w:rFonts w:hint="eastAsia" w:ascii="宋体" w:hAnsi="宋体" w:cs="宋体"/>
                <w:sz w:val="24"/>
              </w:rPr>
              <w:t>手机APP</w:t>
            </w:r>
            <w:bookmarkEnd w:id="46"/>
          </w:p>
        </w:tc>
        <w:tc>
          <w:tcPr>
            <w:tcW w:w="6516" w:type="dxa"/>
            <w:shd w:val="clear" w:color="auto" w:fill="auto"/>
            <w:noWrap w:val="0"/>
            <w:vAlign w:val="center"/>
          </w:tcPr>
          <w:p>
            <w:pPr>
              <w:spacing w:line="276" w:lineRule="auto"/>
              <w:ind w:left="214" w:leftChars="1" w:hanging="212" w:hangingChars="118"/>
              <w:jc w:val="left"/>
              <w:rPr>
                <w:rFonts w:ascii="宋体" w:hAnsi="宋体"/>
                <w:sz w:val="18"/>
                <w:szCs w:val="18"/>
              </w:rPr>
            </w:pPr>
            <w:bookmarkStart w:id="47" w:name="_Hlk524543330"/>
            <w:r>
              <w:rPr>
                <w:rFonts w:hint="eastAsia" w:ascii="宋体" w:hAnsi="宋体" w:cs="宋体"/>
                <w:sz w:val="18"/>
                <w:szCs w:val="18"/>
              </w:rPr>
              <w:t xml:space="preserve">★    </w:t>
            </w:r>
            <w:r>
              <w:rPr>
                <w:rFonts w:hint="eastAsia" w:ascii="宋体" w:hAnsi="宋体"/>
                <w:sz w:val="18"/>
                <w:szCs w:val="18"/>
              </w:rPr>
              <w:t>提供自主研发的云安全中心的移动终端APP（支持android和iphone客户端），便于实时掌握网络安全环境的态势。</w:t>
            </w:r>
            <w:bookmarkEnd w:id="47"/>
            <w:r>
              <w:rPr>
                <w:rFonts w:hint="eastAsia" w:ascii="宋体" w:hAnsi="宋体"/>
                <w:sz w:val="18"/>
                <w:szCs w:val="18"/>
              </w:rPr>
              <w:t>提供APP下载网页和相关链接以及APP使用界面的截图证明</w:t>
            </w:r>
            <w:r>
              <w:rPr>
                <w:rFonts w:hint="eastAsia" w:ascii="宋体" w:hAnsi="宋体" w:cs="宋体"/>
                <w:sz w:val="18"/>
                <w:szCs w:val="18"/>
              </w:rPr>
              <w:t>，加盖鲜红公章。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5" w:type="dxa"/>
            <w:vMerge w:val="restart"/>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restart"/>
            <w:shd w:val="clear" w:color="auto" w:fill="auto"/>
            <w:noWrap w:val="0"/>
            <w:vAlign w:val="center"/>
          </w:tcPr>
          <w:p>
            <w:pPr>
              <w:spacing w:line="276" w:lineRule="auto"/>
              <w:jc w:val="center"/>
              <w:rPr>
                <w:rFonts w:ascii="宋体" w:hAnsi="宋体" w:cs="宋体"/>
                <w:sz w:val="24"/>
              </w:rPr>
            </w:pPr>
            <w:bookmarkStart w:id="48" w:name="_Hlk524543140"/>
            <w:r>
              <w:rPr>
                <w:rFonts w:hint="eastAsia" w:ascii="宋体" w:hAnsi="宋体" w:cs="宋体"/>
                <w:sz w:val="24"/>
              </w:rPr>
              <w:t>用户管理和维护</w:t>
            </w:r>
            <w:bookmarkEnd w:id="48"/>
          </w:p>
        </w:tc>
        <w:tc>
          <w:tcPr>
            <w:tcW w:w="6516" w:type="dxa"/>
            <w:shd w:val="clear" w:color="auto" w:fill="auto"/>
            <w:noWrap w:val="0"/>
            <w:vAlign w:val="center"/>
          </w:tcPr>
          <w:p>
            <w:pPr>
              <w:spacing w:line="276" w:lineRule="auto"/>
              <w:ind w:left="216" w:hanging="216"/>
              <w:jc w:val="left"/>
              <w:rPr>
                <w:rFonts w:ascii="宋体" w:hAnsi="宋体"/>
                <w:sz w:val="18"/>
                <w:szCs w:val="18"/>
              </w:rPr>
            </w:pPr>
            <w:bookmarkStart w:id="49" w:name="_Hlk524543338"/>
            <w:r>
              <w:rPr>
                <w:rFonts w:hint="eastAsia" w:ascii="宋体" w:hAnsi="宋体" w:cs="宋体"/>
                <w:sz w:val="18"/>
                <w:szCs w:val="18"/>
              </w:rPr>
              <w:t xml:space="preserve">★   </w:t>
            </w:r>
            <w:r>
              <w:rPr>
                <w:rFonts w:hint="eastAsia" w:ascii="宋体" w:hAnsi="宋体"/>
                <w:sz w:val="18"/>
                <w:szCs w:val="18"/>
              </w:rPr>
              <w:t>提供系统快照功能，当系统出现问题时，可迅速恢复到快照时的版本、数据，</w:t>
            </w:r>
            <w:bookmarkEnd w:id="49"/>
            <w:r>
              <w:rPr>
                <w:rFonts w:hint="eastAsia" w:ascii="宋体" w:hAnsi="宋体"/>
                <w:sz w:val="18"/>
                <w:szCs w:val="18"/>
              </w:rPr>
              <w:t>请提供功能截图</w:t>
            </w:r>
            <w:r>
              <w:rPr>
                <w:rFonts w:hint="eastAsia" w:ascii="宋体" w:hAnsi="宋体" w:cs="宋体"/>
                <w:sz w:val="18"/>
                <w:szCs w:val="18"/>
              </w:rPr>
              <w:t>，加盖鲜红公章</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left"/>
              <w:rPr>
                <w:rFonts w:ascii="宋体" w:hAnsi="宋体" w:cs="宋体"/>
                <w:sz w:val="24"/>
              </w:rPr>
            </w:pPr>
          </w:p>
        </w:tc>
        <w:tc>
          <w:tcPr>
            <w:tcW w:w="6516" w:type="dxa"/>
            <w:shd w:val="clear" w:color="auto" w:fill="auto"/>
            <w:noWrap w:val="0"/>
            <w:vAlign w:val="center"/>
          </w:tcPr>
          <w:p>
            <w:pPr>
              <w:spacing w:line="276" w:lineRule="auto"/>
              <w:ind w:left="216" w:leftChars="103"/>
              <w:jc w:val="left"/>
              <w:rPr>
                <w:rFonts w:ascii="宋体" w:hAnsi="宋体"/>
                <w:sz w:val="18"/>
                <w:szCs w:val="18"/>
              </w:rPr>
            </w:pPr>
            <w:bookmarkStart w:id="50" w:name="_Hlk524543342"/>
            <w:r>
              <w:rPr>
                <w:rFonts w:hint="eastAsia" w:ascii="宋体" w:hAnsi="宋体"/>
                <w:sz w:val="18"/>
                <w:szCs w:val="18"/>
              </w:rPr>
              <w:t>支持多用户分级权限管理，可进行用户账号分配、任务权限分配、允许登录的IP范围和允许扫描的IP范围等</w:t>
            </w:r>
            <w:bookmarkEnd w:id="50"/>
            <w:r>
              <w:rPr>
                <w:rFonts w:hint="eastAsia" w:ascii="宋体" w:hAnsi="宋体"/>
                <w:sz w:val="18"/>
                <w:szCs w:val="18"/>
              </w:rPr>
              <w:t>。 请提供功能截图</w:t>
            </w:r>
            <w:r>
              <w:rPr>
                <w:rFonts w:hint="eastAsia" w:ascii="宋体" w:hAnsi="宋体" w:cs="宋体"/>
                <w:sz w:val="18"/>
                <w:szCs w:val="18"/>
              </w:rPr>
              <w:t>。</w:t>
            </w:r>
          </w:p>
        </w:tc>
      </w:tr>
    </w:tbl>
    <w:p>
      <w:pPr>
        <w:spacing w:line="360" w:lineRule="auto"/>
        <w:rPr>
          <w:b/>
          <w:sz w:val="18"/>
          <w:szCs w:val="18"/>
        </w:rPr>
      </w:pPr>
      <w:r>
        <w:rPr>
          <w:rFonts w:hint="eastAsia"/>
          <w:sz w:val="18"/>
          <w:szCs w:val="18"/>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45720</wp:posOffset>
                </wp:positionV>
                <wp:extent cx="342900" cy="297180"/>
                <wp:effectExtent l="0" t="0" r="0" b="7620"/>
                <wp:wrapNone/>
                <wp:docPr id="24" name="文本框 24"/>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Cs w:val="21"/>
                              </w:rPr>
                            </w:pPr>
                            <w:r>
                              <w:rPr>
                                <w:rFonts w:hint="eastAsia" w:ascii="宋体" w:hAnsi="宋体" w:cs="宋体"/>
                                <w:kern w:val="0"/>
                                <w:szCs w:val="21"/>
                              </w:rPr>
                              <w:t>★</w:t>
                            </w:r>
                          </w:p>
                        </w:txbxContent>
                      </wps:txbx>
                      <wps:bodyPr upright="1"/>
                    </wps:wsp>
                  </a:graphicData>
                </a:graphic>
              </wp:anchor>
            </w:drawing>
          </mc:Choice>
          <mc:Fallback>
            <w:pict>
              <v:shape id="_x0000_s1026" o:spid="_x0000_s1026" o:spt="202" type="#_x0000_t202" style="position:absolute;left:0pt;margin-left:27pt;margin-top:3.6pt;height:23.4pt;width:27pt;z-index:251661312;mso-width-relative:page;mso-height-relative:page;" fillcolor="#FFFFFF" filled="t" stroked="f" coordsize="21600,21600" o:gfxdata="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BCA3rTAAAABwEAAA8AAAAA&#10;AAAAAQAgAAAAIgAAAGRycy9kb3ducmV2LnhtbFBLAQIUABQAAAAIAIdO4kBb+qeBpwEAACoDAAAO&#10;AAAAAAAAAAEAIAAAACIBAABkcnMvZTJvRG9jLnhtbFBLBQYAAAAABgAGAFkBAAA7BQAAAAA=&#10;">
                <v:fill on="t" focussize="0,0"/>
                <v:stroke on="f"/>
                <v:imagedata o:title=""/>
                <o:lock v:ext="edit" aspectratio="f"/>
                <v:textbox>
                  <w:txbxContent>
                    <w:p>
                      <w:pPr>
                        <w:rPr>
                          <w:szCs w:val="21"/>
                        </w:rPr>
                      </w:pPr>
                      <w:r>
                        <w:rPr>
                          <w:rFonts w:hint="eastAsia" w:ascii="宋体" w:hAnsi="宋体" w:cs="宋体"/>
                          <w:kern w:val="0"/>
                          <w:szCs w:val="21"/>
                        </w:rPr>
                        <w:t>★</w:t>
                      </w:r>
                    </w:p>
                  </w:txbxContent>
                </v:textbox>
              </v:shape>
            </w:pict>
          </mc:Fallback>
        </mc:AlternateContent>
      </w:r>
      <w:r>
        <w:rPr>
          <w:rFonts w:hint="eastAsia"/>
          <w:sz w:val="18"/>
          <w:szCs w:val="18"/>
        </w:rPr>
        <w:t>注：“       ”为关键指标必须满足</w:t>
      </w:r>
      <w:r>
        <w:rPr>
          <w:b/>
          <w:sz w:val="18"/>
          <w:szCs w:val="18"/>
        </w:rPr>
        <w:t xml:space="preserve"> </w:t>
      </w:r>
    </w:p>
    <w:p>
      <w:pPr>
        <w:spacing w:line="360" w:lineRule="auto"/>
        <w:rPr>
          <w:rFonts w:hint="eastAsia" w:ascii="宋体" w:hAnsi="宋体"/>
          <w:b/>
          <w:sz w:val="24"/>
        </w:rPr>
      </w:pPr>
      <w:r>
        <w:rPr>
          <w:rFonts w:hint="eastAsia" w:hAnsi="宋体"/>
          <w:sz w:val="24"/>
        </w:rPr>
        <mc:AlternateContent>
          <mc:Choice Requires="wps">
            <w:drawing>
              <wp:anchor distT="0" distB="0" distL="114300" distR="114300" simplePos="0" relativeHeight="251658240" behindDoc="0" locked="0" layoutInCell="1" allowOverlap="1">
                <wp:simplePos x="0" y="0"/>
                <wp:positionH relativeFrom="column">
                  <wp:posOffset>-371475</wp:posOffset>
                </wp:positionH>
                <wp:positionV relativeFrom="paragraph">
                  <wp:posOffset>319405</wp:posOffset>
                </wp:positionV>
                <wp:extent cx="342900" cy="525780"/>
                <wp:effectExtent l="0" t="0" r="0" b="7620"/>
                <wp:wrapNone/>
                <wp:docPr id="23" name="文本框 23"/>
                <wp:cNvGraphicFramePr/>
                <a:graphic xmlns:a="http://schemas.openxmlformats.org/drawingml/2006/main">
                  <a:graphicData uri="http://schemas.microsoft.com/office/word/2010/wordprocessingShape">
                    <wps:wsp>
                      <wps:cNvSpPr txBox="1"/>
                      <wps:spPr>
                        <a:xfrm>
                          <a:off x="0" y="0"/>
                          <a:ext cx="342900" cy="52578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29.25pt;margin-top:25.15pt;height:41.4pt;width:27pt;z-index:251658240;mso-width-relative:page;mso-height-relative:page;" fillcolor="#FFFFFF" filled="t" stroked="f" coordsize="21600,21600" o:gfxdata="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Ce2c71wAAAAkBAAAP&#10;AAAAAAAAAAEAIAAAACIAAABkcnMvZG93bnJldi54bWxQSwECFAAUAAAACACHTuJADMNTfqcBAAAq&#10;AwAADgAAAAAAAAABACAAAAAmAQAAZHJzL2Uyb0RvYy54bWxQSwUGAAAAAAYABgBZAQAAPwU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p>
    <w:bookmarkEnd w:id="31"/>
    <w:bookmarkEnd w:id="32"/>
    <w:bookmarkEnd w:id="33"/>
    <w:p>
      <w:pPr>
        <w:numPr>
          <w:ilvl w:val="0"/>
          <w:numId w:val="3"/>
        </w:numPr>
        <w:spacing w:line="360" w:lineRule="auto"/>
        <w:rPr>
          <w:rFonts w:hint="eastAsia" w:hAnsi="宋体"/>
          <w:b/>
          <w:bCs/>
          <w:sz w:val="24"/>
        </w:rPr>
      </w:pPr>
      <w:r>
        <w:rPr>
          <w:rFonts w:hint="eastAsia" w:ascii="宋体" w:hAnsi="宋体" w:cs="宋体"/>
          <w:b/>
          <w:kern w:val="0"/>
          <w:sz w:val="24"/>
        </w:rPr>
        <w:t>资质和授权</w:t>
      </w:r>
      <w:r>
        <w:rPr>
          <w:rFonts w:hint="eastAsia" w:hAnsi="宋体"/>
          <w:b/>
          <w:bCs/>
          <w:sz w:val="24"/>
        </w:rPr>
        <w:t>要求</w:t>
      </w:r>
      <w:bookmarkStart w:id="51" w:name="_Hlk45222182"/>
      <w:r>
        <w:rPr>
          <w:sz w:val="24"/>
        </w:rPr>
        <w:t>(</w:t>
      </w:r>
      <w:r>
        <w:rPr>
          <w:rFonts w:hAnsi="宋体"/>
          <w:kern w:val="0"/>
          <w:sz w:val="24"/>
        </w:rPr>
        <w:t>提供截图并加盖原厂公章</w:t>
      </w:r>
      <w:r>
        <w:rPr>
          <w:sz w:val="24"/>
        </w:rPr>
        <w:t>)</w:t>
      </w:r>
      <w:bookmarkEnd w:id="51"/>
    </w:p>
    <w:p>
      <w:pPr>
        <w:pStyle w:val="15"/>
        <w:adjustRightInd w:val="0"/>
        <w:snapToGrid w:val="0"/>
        <w:spacing w:line="360" w:lineRule="auto"/>
        <w:ind w:firstLine="0" w:firstLineChars="0"/>
        <w:jc w:val="left"/>
        <w:rPr>
          <w:rFonts w:hint="eastAsia" w:ascii="Times New Roman" w:hAnsi="宋体"/>
          <w:sz w:val="24"/>
          <w:szCs w:val="24"/>
        </w:rPr>
      </w:pPr>
      <w:r>
        <w:rPr>
          <w:rFonts w:hint="eastAsia" w:ascii="Times New Roman" w:hAnsi="宋体"/>
          <w:sz w:val="24"/>
          <w:szCs w:val="24"/>
        </w:rPr>
        <w:t>3.1 产品资质</w:t>
      </w:r>
    </w:p>
    <w:p>
      <w:pPr>
        <w:pStyle w:val="15"/>
        <w:adjustRightInd w:val="0"/>
        <w:snapToGrid w:val="0"/>
        <w:spacing w:line="360" w:lineRule="auto"/>
        <w:ind w:left="540" w:hanging="540" w:hangingChars="225"/>
        <w:jc w:val="left"/>
        <w:rPr>
          <w:rFonts w:hint="eastAsia" w:ascii="Times New Roman" w:hAnsi="Times New Roman"/>
          <w:sz w:val="24"/>
          <w:szCs w:val="24"/>
        </w:rPr>
      </w:pPr>
      <w:r>
        <w:rPr>
          <w:rFonts w:ascii="Times New Roman" w:hAnsi="Times New Roman"/>
          <w:kern w:val="0"/>
          <w:sz w:val="24"/>
        </w:rPr>
        <w:t>3.1.1 产品必须具备</w:t>
      </w:r>
      <w:r>
        <w:rPr>
          <w:rFonts w:ascii="Times New Roman" w:hAnsi="Times New Roman"/>
          <w:sz w:val="24"/>
          <w:szCs w:val="24"/>
        </w:rPr>
        <w:t>公安部颁发的《计算机信息系统安全专用产品销售许可证》，认证的产品类型/级别</w:t>
      </w:r>
      <w:r>
        <w:rPr>
          <w:rFonts w:hint="eastAsia" w:ascii="Times New Roman" w:hAnsi="Times New Roman"/>
          <w:sz w:val="24"/>
          <w:szCs w:val="24"/>
        </w:rPr>
        <w:t>须达到“</w:t>
      </w:r>
      <w:r>
        <w:rPr>
          <w:rFonts w:ascii="Times New Roman" w:hAnsi="Times New Roman"/>
          <w:sz w:val="24"/>
          <w:szCs w:val="24"/>
        </w:rPr>
        <w:t>网络脆弱性扫描（增强级）</w:t>
      </w:r>
      <w:r>
        <w:rPr>
          <w:rFonts w:hint="eastAsia" w:ascii="Times New Roman" w:hAnsi="Times New Roman"/>
          <w:sz w:val="24"/>
          <w:szCs w:val="24"/>
        </w:rPr>
        <w:t>”；</w:t>
      </w:r>
    </w:p>
    <w:p>
      <w:pPr>
        <w:pStyle w:val="15"/>
        <w:adjustRightInd w:val="0"/>
        <w:snapToGrid w:val="0"/>
        <w:spacing w:line="360" w:lineRule="auto"/>
        <w:ind w:left="540" w:hanging="540" w:hangingChars="225"/>
        <w:jc w:val="left"/>
        <w:rPr>
          <w:rFonts w:ascii="Times New Roman" w:hAnsi="宋体"/>
          <w:sz w:val="24"/>
          <w:szCs w:val="24"/>
        </w:rPr>
      </w:pPr>
      <w:r>
        <w:rPr>
          <w:rFonts w:hint="eastAsia" w:ascii="Times New Roman" w:hAnsi="宋体"/>
          <w:sz w:val="24"/>
          <w:szCs w:val="24"/>
        </w:rPr>
        <w:t>3.1.2 产品必须具备中国网络安全审查技术与认证中心颁发的《网络关键设备和网络安全专用产品安全认证证书》；</w:t>
      </w:r>
    </w:p>
    <w:p>
      <w:pPr>
        <w:pStyle w:val="15"/>
        <w:adjustRightInd w:val="0"/>
        <w:snapToGrid w:val="0"/>
        <w:spacing w:line="360" w:lineRule="auto"/>
        <w:ind w:left="540" w:hanging="540" w:hangingChars="225"/>
        <w:jc w:val="left"/>
        <w:rPr>
          <w:rFonts w:ascii="Times New Roman" w:hAnsi="Times New Roman"/>
          <w:kern w:val="0"/>
          <w:sz w:val="24"/>
        </w:rPr>
      </w:pPr>
      <w:r>
        <w:rPr>
          <w:rFonts w:hint="eastAsia" w:ascii="Times New Roman" w:hAnsi="宋体"/>
          <w:sz w:val="24"/>
          <w:szCs w:val="24"/>
        </w:rPr>
        <w:t>3.1.</w:t>
      </w:r>
      <w:r>
        <w:rPr>
          <w:rFonts w:ascii="Times New Roman" w:hAnsi="宋体"/>
          <w:sz w:val="24"/>
          <w:szCs w:val="24"/>
        </w:rPr>
        <w:t xml:space="preserve">3 </w:t>
      </w:r>
      <w:r>
        <w:rPr>
          <w:rFonts w:hint="eastAsia" w:ascii="Times New Roman" w:hAnsi="Times New Roman"/>
          <w:kern w:val="0"/>
          <w:sz w:val="24"/>
        </w:rPr>
        <w:t xml:space="preserve">产品必须具备中国信息安全测评中心颁发的《国家信息安全测评信息技术产品安全测评证书》, </w:t>
      </w:r>
      <w:r>
        <w:rPr>
          <w:rFonts w:ascii="Times New Roman" w:hAnsi="Times New Roman"/>
          <w:sz w:val="24"/>
          <w:szCs w:val="24"/>
        </w:rPr>
        <w:t>级别</w:t>
      </w:r>
      <w:r>
        <w:rPr>
          <w:rFonts w:hint="eastAsia" w:ascii="Times New Roman" w:hAnsi="Times New Roman"/>
          <w:sz w:val="24"/>
          <w:szCs w:val="24"/>
        </w:rPr>
        <w:t>须达到</w:t>
      </w:r>
      <w:r>
        <w:rPr>
          <w:rFonts w:hint="eastAsia" w:ascii="Times New Roman" w:hAnsi="Times New Roman"/>
          <w:kern w:val="0"/>
          <w:sz w:val="24"/>
        </w:rPr>
        <w:t>EAL3+；</w:t>
      </w:r>
    </w:p>
    <w:p>
      <w:pPr>
        <w:pStyle w:val="15"/>
        <w:adjustRightInd w:val="0"/>
        <w:snapToGrid w:val="0"/>
        <w:spacing w:line="360" w:lineRule="auto"/>
        <w:ind w:left="540" w:hanging="540" w:hangingChars="225"/>
        <w:jc w:val="left"/>
        <w:rPr>
          <w:rFonts w:ascii="Times New Roman" w:hAnsi="Times New Roman"/>
          <w:kern w:val="0"/>
          <w:sz w:val="24"/>
        </w:rPr>
      </w:pPr>
      <w:r>
        <w:rPr>
          <w:rFonts w:hint="eastAsia" w:ascii="Times New Roman" w:hAnsi="宋体"/>
          <w:sz w:val="24"/>
          <w:szCs w:val="24"/>
        </w:rPr>
        <w:t>3.1.</w:t>
      </w:r>
      <w:r>
        <w:rPr>
          <w:rFonts w:ascii="Times New Roman" w:hAnsi="宋体"/>
          <w:sz w:val="24"/>
          <w:szCs w:val="24"/>
        </w:rPr>
        <w:t xml:space="preserve">4 </w:t>
      </w:r>
      <w:r>
        <w:rPr>
          <w:rFonts w:hint="eastAsia" w:ascii="Times New Roman" w:hAnsi="Times New Roman"/>
          <w:kern w:val="0"/>
          <w:sz w:val="24"/>
        </w:rPr>
        <w:t>产品具备全球IPv6测试中心颁发的《IPv6 Ready Logo 认证》证书；</w:t>
      </w:r>
    </w:p>
    <w:p>
      <w:pPr>
        <w:pStyle w:val="15"/>
        <w:adjustRightInd w:val="0"/>
        <w:snapToGrid w:val="0"/>
        <w:spacing w:line="360" w:lineRule="auto"/>
        <w:ind w:left="540" w:hanging="540" w:hangingChars="225"/>
        <w:jc w:val="left"/>
        <w:rPr>
          <w:rFonts w:ascii="Times New Roman" w:hAnsi="宋体"/>
          <w:sz w:val="24"/>
          <w:szCs w:val="24"/>
        </w:rPr>
      </w:pPr>
      <w:r>
        <w:rPr>
          <w:rFonts w:hint="eastAsia" w:ascii="Times New Roman" w:hAnsi="Times New Roman"/>
          <w:kern w:val="0"/>
          <w:sz w:val="24"/>
        </w:rPr>
        <w:t>3</w:t>
      </w:r>
      <w:r>
        <w:rPr>
          <w:rFonts w:ascii="Times New Roman" w:hAnsi="Times New Roman"/>
          <w:kern w:val="0"/>
          <w:sz w:val="24"/>
        </w:rPr>
        <w:t>.1.5 产品必须</w:t>
      </w:r>
      <w:r>
        <w:rPr>
          <w:rFonts w:hint="eastAsia" w:ascii="Times New Roman" w:hAnsi="宋体"/>
          <w:sz w:val="24"/>
          <w:szCs w:val="24"/>
        </w:rPr>
        <w:t>具备</w:t>
      </w:r>
      <w:r>
        <w:rPr>
          <w:rFonts w:ascii="Times New Roman" w:hAnsi="宋体"/>
          <w:sz w:val="24"/>
          <w:szCs w:val="24"/>
        </w:rPr>
        <w:t>国家保密局涉密信息系统安全保密测评中心颁发的符合国家保密标准</w:t>
      </w:r>
      <w:r>
        <w:rPr>
          <w:rFonts w:ascii="Times New Roman" w:hAnsi="Times New Roman"/>
          <w:sz w:val="24"/>
          <w:szCs w:val="24"/>
        </w:rPr>
        <w:t>BMB12</w:t>
      </w:r>
      <w:r>
        <w:rPr>
          <w:rFonts w:ascii="Times New Roman" w:hAnsi="宋体"/>
          <w:sz w:val="24"/>
          <w:szCs w:val="24"/>
        </w:rPr>
        <w:t>－</w:t>
      </w:r>
      <w:r>
        <w:rPr>
          <w:rFonts w:ascii="Times New Roman" w:hAnsi="Times New Roman"/>
          <w:sz w:val="24"/>
          <w:szCs w:val="24"/>
        </w:rPr>
        <w:t>2004</w:t>
      </w:r>
      <w:r>
        <w:rPr>
          <w:rFonts w:ascii="Times New Roman" w:hAnsi="宋体"/>
          <w:sz w:val="24"/>
          <w:szCs w:val="24"/>
        </w:rPr>
        <w:t>《涉及国家秘密的计算机信息系统漏洞扫描产品技术要求》的《涉密信息系统产品检测证书》</w:t>
      </w:r>
      <w:r>
        <w:rPr>
          <w:rFonts w:hint="eastAsia" w:ascii="Times New Roman" w:hAnsi="宋体"/>
          <w:sz w:val="24"/>
          <w:szCs w:val="24"/>
        </w:rPr>
        <w:t>；</w:t>
      </w:r>
    </w:p>
    <w:p>
      <w:pPr>
        <w:pStyle w:val="15"/>
        <w:adjustRightInd w:val="0"/>
        <w:snapToGrid w:val="0"/>
        <w:spacing w:line="360" w:lineRule="auto"/>
        <w:ind w:left="540" w:hanging="540" w:hangingChars="225"/>
        <w:jc w:val="left"/>
        <w:rPr>
          <w:rFonts w:ascii="Times New Roman" w:hAnsi="宋体"/>
          <w:sz w:val="24"/>
          <w:szCs w:val="24"/>
        </w:rPr>
      </w:pPr>
      <w:r>
        <w:rPr>
          <w:rFonts w:hint="eastAsia" w:ascii="Times New Roman" w:hAnsi="Times New Roman"/>
          <w:kern w:val="0"/>
          <w:sz w:val="24"/>
        </w:rPr>
        <w:t>3</w:t>
      </w:r>
      <w:r>
        <w:rPr>
          <w:rFonts w:ascii="Times New Roman" w:hAnsi="Times New Roman"/>
          <w:kern w:val="0"/>
          <w:sz w:val="24"/>
        </w:rPr>
        <w:t>.1.6 产品必须</w:t>
      </w:r>
      <w:r>
        <w:rPr>
          <w:rFonts w:hint="eastAsia" w:ascii="Times New Roman" w:hAnsi="宋体"/>
          <w:sz w:val="24"/>
          <w:szCs w:val="24"/>
        </w:rPr>
        <w:t>具备</w:t>
      </w:r>
      <w:r>
        <w:rPr>
          <w:rFonts w:ascii="Times New Roman" w:hAnsi="宋体"/>
          <w:sz w:val="24"/>
          <w:szCs w:val="24"/>
        </w:rPr>
        <w:t>中国信息安全测评中心颁发的《国家信息安全漏洞库兼容性资质证书》</w:t>
      </w:r>
      <w:r>
        <w:rPr>
          <w:rFonts w:hint="eastAsia" w:ascii="Times New Roman" w:hAnsi="宋体"/>
          <w:sz w:val="24"/>
          <w:szCs w:val="24"/>
        </w:rPr>
        <w:t>；</w:t>
      </w:r>
    </w:p>
    <w:p>
      <w:pPr>
        <w:pStyle w:val="15"/>
        <w:adjustRightInd w:val="0"/>
        <w:snapToGrid w:val="0"/>
        <w:spacing w:line="360" w:lineRule="auto"/>
        <w:ind w:left="540" w:hanging="540" w:hangingChars="225"/>
        <w:jc w:val="left"/>
        <w:rPr>
          <w:rFonts w:ascii="Times New Roman" w:hAnsi="Times New Roman"/>
          <w:kern w:val="0"/>
          <w:sz w:val="24"/>
        </w:rPr>
      </w:pPr>
      <w:r>
        <w:rPr>
          <w:rFonts w:hint="eastAsia" w:ascii="Times New Roman" w:hAnsi="Times New Roman"/>
          <w:kern w:val="0"/>
          <w:sz w:val="24"/>
        </w:rPr>
        <w:t>3</w:t>
      </w:r>
      <w:r>
        <w:rPr>
          <w:rFonts w:ascii="Times New Roman" w:hAnsi="Times New Roman"/>
          <w:kern w:val="0"/>
          <w:sz w:val="24"/>
        </w:rPr>
        <w:t>.1.7 产品</w:t>
      </w:r>
      <w:r>
        <w:rPr>
          <w:rFonts w:hint="eastAsia" w:ascii="Times New Roman" w:hAnsi="Times New Roman"/>
          <w:kern w:val="0"/>
          <w:sz w:val="24"/>
        </w:rPr>
        <w:t>应具体与漏洞扫描相关的公开专利，要求数量不少于5个；</w:t>
      </w:r>
    </w:p>
    <w:p>
      <w:pPr>
        <w:widowControl/>
        <w:spacing w:line="360" w:lineRule="auto"/>
        <w:ind w:left="539" w:leftChars="228" w:hanging="60" w:hangingChars="25"/>
        <w:jc w:val="left"/>
        <w:rPr>
          <w:kern w:val="0"/>
          <w:sz w:val="24"/>
        </w:rPr>
      </w:pPr>
      <w:r>
        <w:rPr>
          <w:rFonts w:hint="eastAsia"/>
          <w:kern w:val="0"/>
          <w:sz w:val="24"/>
        </w:rPr>
        <w:t>3</w:t>
      </w:r>
      <w:r>
        <w:rPr>
          <w:kern w:val="0"/>
          <w:sz w:val="24"/>
        </w:rPr>
        <w:t xml:space="preserve">.1.8 </w:t>
      </w:r>
      <w:r>
        <w:rPr>
          <w:rFonts w:hint="eastAsia" w:hAnsi="宋体"/>
          <w:kern w:val="0"/>
          <w:sz w:val="24"/>
        </w:rPr>
        <w:t>产品</w:t>
      </w:r>
      <w:r>
        <w:rPr>
          <w:rFonts w:hint="eastAsia" w:ascii="宋体" w:hAnsi="宋体" w:cs="宋体"/>
          <w:kern w:val="0"/>
          <w:sz w:val="24"/>
        </w:rPr>
        <w:t>近三年国内市场占有率前三名，提供权威第三方调查机构（</w:t>
      </w:r>
      <w:r>
        <w:rPr>
          <w:rFonts w:ascii="宋体" w:hAnsi="宋体" w:cs="宋体"/>
          <w:kern w:val="0"/>
          <w:sz w:val="24"/>
        </w:rPr>
        <w:t>IDC</w:t>
      </w:r>
      <w:r>
        <w:rPr>
          <w:rFonts w:hint="eastAsia" w:ascii="宋体" w:hAnsi="宋体" w:cs="宋体"/>
          <w:kern w:val="0"/>
          <w:sz w:val="24"/>
        </w:rPr>
        <w:t>）的证明</w:t>
      </w:r>
      <w:r>
        <w:rPr>
          <w:rFonts w:hAnsi="宋体"/>
          <w:kern w:val="0"/>
          <w:sz w:val="24"/>
        </w:rPr>
        <w:t>。</w:t>
      </w:r>
    </w:p>
    <w:p>
      <w:pPr>
        <w:pStyle w:val="15"/>
        <w:adjustRightInd w:val="0"/>
        <w:snapToGrid w:val="0"/>
        <w:spacing w:line="360" w:lineRule="auto"/>
        <w:ind w:left="540" w:hanging="540" w:hangingChars="225"/>
        <w:jc w:val="left"/>
        <w:rPr>
          <w:rFonts w:hint="eastAsia" w:hAnsi="宋体"/>
          <w:kern w:val="0"/>
          <w:sz w:val="24"/>
        </w:rPr>
      </w:pPr>
      <w:r>
        <w:rPr>
          <w:rFonts w:hint="eastAsia" w:ascii="Times New Roman" w:hAnsi="宋体"/>
          <w:sz w:val="24"/>
          <w:szCs w:val="24"/>
        </w:rPr>
        <w:t xml:space="preserve">3.2 </w:t>
      </w:r>
      <w:r>
        <w:rPr>
          <w:rFonts w:hAnsi="宋体"/>
          <w:kern w:val="0"/>
          <w:sz w:val="24"/>
        </w:rPr>
        <w:t>产品厂</w:t>
      </w:r>
      <w:r>
        <w:rPr>
          <w:rFonts w:hint="eastAsia" w:hAnsi="宋体"/>
          <w:kern w:val="0"/>
          <w:sz w:val="24"/>
        </w:rPr>
        <w:t>商</w:t>
      </w:r>
      <w:r>
        <w:rPr>
          <w:rFonts w:hAnsi="宋体"/>
          <w:kern w:val="0"/>
          <w:sz w:val="24"/>
        </w:rPr>
        <w:t>资质</w:t>
      </w:r>
      <w:r>
        <w:rPr>
          <w:sz w:val="24"/>
        </w:rPr>
        <w:t>(</w:t>
      </w:r>
      <w:r>
        <w:rPr>
          <w:rFonts w:hAnsi="宋体"/>
          <w:kern w:val="0"/>
          <w:sz w:val="24"/>
        </w:rPr>
        <w:t>提供截图并加盖原厂公章</w:t>
      </w:r>
      <w:r>
        <w:rPr>
          <w:sz w:val="24"/>
        </w:rPr>
        <w:t>)</w:t>
      </w:r>
    </w:p>
    <w:p>
      <w:pPr>
        <w:pStyle w:val="15"/>
        <w:adjustRightInd w:val="0"/>
        <w:snapToGrid w:val="0"/>
        <w:spacing w:line="360" w:lineRule="auto"/>
        <w:ind w:left="540" w:hanging="540" w:hangingChars="225"/>
        <w:jc w:val="left"/>
        <w:rPr>
          <w:rFonts w:hint="eastAsia" w:ascii="Times New Roman" w:hAnsi="Times New Roman"/>
          <w:sz w:val="24"/>
          <w:szCs w:val="24"/>
        </w:rPr>
      </w:pPr>
      <w:r>
        <w:rPr>
          <w:rFonts w:ascii="Times New Roman" w:hAnsi="Times New Roman"/>
          <w:kern w:val="0"/>
          <w:sz w:val="24"/>
        </w:rPr>
        <w:t xml:space="preserve">3.2.1 </w:t>
      </w:r>
      <w:r>
        <w:rPr>
          <w:rFonts w:ascii="Times New Roman" w:hAnsi="Times New Roman"/>
          <w:sz w:val="24"/>
          <w:szCs w:val="24"/>
        </w:rPr>
        <w:t>必须具备CNCERT颁发《网络安全应急服务支撑单位证书》</w:t>
      </w:r>
      <w:r>
        <w:rPr>
          <w:rFonts w:hint="eastAsia" w:ascii="Times New Roman" w:hAnsi="Times New Roman"/>
          <w:sz w:val="24"/>
          <w:szCs w:val="24"/>
        </w:rPr>
        <w:t>，</w:t>
      </w:r>
      <w:r>
        <w:rPr>
          <w:rFonts w:ascii="Times New Roman" w:hAnsi="Times New Roman"/>
          <w:sz w:val="24"/>
          <w:szCs w:val="24"/>
        </w:rPr>
        <w:t>级别</w:t>
      </w:r>
      <w:r>
        <w:rPr>
          <w:rFonts w:hint="eastAsia" w:ascii="Times New Roman" w:hAnsi="Times New Roman"/>
          <w:sz w:val="24"/>
          <w:szCs w:val="24"/>
        </w:rPr>
        <w:t>须达到国家级；</w:t>
      </w:r>
    </w:p>
    <w:p>
      <w:pPr>
        <w:pStyle w:val="15"/>
        <w:adjustRightInd w:val="0"/>
        <w:snapToGrid w:val="0"/>
        <w:spacing w:line="360" w:lineRule="auto"/>
        <w:ind w:left="540" w:hanging="540" w:hangingChars="225"/>
        <w:jc w:val="left"/>
        <w:rPr>
          <w:rFonts w:ascii="Times New Roman" w:hAnsi="Times New Roman"/>
          <w:kern w:val="0"/>
          <w:sz w:val="24"/>
        </w:rPr>
      </w:pPr>
      <w:r>
        <w:rPr>
          <w:rFonts w:hint="eastAsia" w:ascii="Times New Roman" w:hAnsi="Times New Roman"/>
          <w:kern w:val="0"/>
          <w:sz w:val="24"/>
        </w:rPr>
        <w:t>3.2.2</w:t>
      </w:r>
      <w:r>
        <w:rPr>
          <w:rFonts w:ascii="Times New Roman" w:hAnsi="Times New Roman"/>
          <w:kern w:val="0"/>
          <w:sz w:val="24"/>
        </w:rPr>
        <w:t xml:space="preserve"> </w:t>
      </w:r>
      <w:r>
        <w:rPr>
          <w:rFonts w:hint="eastAsia" w:ascii="Times New Roman" w:hAnsi="Times New Roman"/>
          <w:kern w:val="0"/>
          <w:sz w:val="24"/>
        </w:rPr>
        <w:t>应为微软MAPP成员，并有48小时内发布产品版本响应微软紧急安全公告能力，请提供微软证明；</w:t>
      </w:r>
    </w:p>
    <w:p>
      <w:pPr>
        <w:pStyle w:val="15"/>
        <w:adjustRightInd w:val="0"/>
        <w:snapToGrid w:val="0"/>
        <w:spacing w:line="360" w:lineRule="auto"/>
        <w:ind w:left="540" w:hanging="540" w:hangingChars="225"/>
        <w:jc w:val="left"/>
        <w:rPr>
          <w:rFonts w:ascii="Times New Roman" w:hAnsi="宋体"/>
          <w:sz w:val="24"/>
          <w:szCs w:val="24"/>
        </w:rPr>
      </w:pPr>
      <w:r>
        <w:rPr>
          <w:rFonts w:hint="eastAsia" w:ascii="Times New Roman" w:hAnsi="Times New Roman"/>
          <w:sz w:val="24"/>
          <w:szCs w:val="24"/>
        </w:rPr>
        <w:t xml:space="preserve">3.2.3 </w:t>
      </w:r>
      <w:bookmarkStart w:id="52" w:name="_Hlk45223282"/>
      <w:r>
        <w:rPr>
          <w:rFonts w:ascii="Times New Roman" w:hAnsi="宋体"/>
          <w:sz w:val="24"/>
          <w:szCs w:val="24"/>
        </w:rPr>
        <w:t>应具有符合</w:t>
      </w:r>
      <w:r>
        <w:rPr>
          <w:rFonts w:ascii="Times New Roman" w:hAnsi="Times New Roman"/>
          <w:sz w:val="24"/>
          <w:szCs w:val="24"/>
        </w:rPr>
        <w:t>GB/T 19001-2016/ISO 9001:2015</w:t>
      </w:r>
      <w:r>
        <w:rPr>
          <w:rFonts w:ascii="Times New Roman" w:hAnsi="宋体"/>
          <w:sz w:val="24"/>
          <w:szCs w:val="24"/>
        </w:rPr>
        <w:t>标准的《质量管理体系认证证书》</w:t>
      </w:r>
      <w:r>
        <w:rPr>
          <w:rFonts w:hint="eastAsia" w:ascii="Times New Roman" w:hAnsi="宋体"/>
          <w:sz w:val="24"/>
          <w:szCs w:val="24"/>
        </w:rPr>
        <w:t>；</w:t>
      </w:r>
      <w:bookmarkEnd w:id="52"/>
    </w:p>
    <w:p>
      <w:pPr>
        <w:pStyle w:val="15"/>
        <w:adjustRightInd w:val="0"/>
        <w:snapToGrid w:val="0"/>
        <w:spacing w:line="360" w:lineRule="auto"/>
        <w:ind w:left="540" w:hanging="540" w:hangingChars="225"/>
        <w:jc w:val="left"/>
        <w:rPr>
          <w:rFonts w:hint="eastAsia" w:ascii="Times New Roman" w:hAnsi="Times New Roman"/>
          <w:sz w:val="24"/>
          <w:szCs w:val="24"/>
        </w:rPr>
      </w:pPr>
      <w:r>
        <w:rPr>
          <w:rFonts w:hint="eastAsia" w:ascii="Times New Roman" w:hAnsi="Times New Roman"/>
          <w:sz w:val="24"/>
          <w:szCs w:val="24"/>
        </w:rPr>
        <w:t>3.2.</w:t>
      </w:r>
      <w:r>
        <w:rPr>
          <w:rFonts w:ascii="Times New Roman" w:hAnsi="Times New Roman"/>
          <w:sz w:val="24"/>
          <w:szCs w:val="24"/>
        </w:rPr>
        <w:t xml:space="preserve">4 </w:t>
      </w:r>
      <w:bookmarkStart w:id="53" w:name="_Hlk45222266"/>
      <w:r>
        <w:rPr>
          <w:rFonts w:ascii="Times New Roman" w:hAnsi="宋体"/>
          <w:sz w:val="24"/>
          <w:szCs w:val="24"/>
        </w:rPr>
        <w:t>应具有符合</w:t>
      </w:r>
      <w:r>
        <w:rPr>
          <w:rFonts w:ascii="Times New Roman" w:hAnsi="Times New Roman"/>
          <w:sz w:val="24"/>
          <w:szCs w:val="24"/>
        </w:rPr>
        <w:t>GB/T 28001</w:t>
      </w:r>
      <w:r>
        <w:rPr>
          <w:rFonts w:hint="eastAsia" w:ascii="Times New Roman" w:hAnsi="Times New Roman"/>
          <w:sz w:val="24"/>
          <w:szCs w:val="24"/>
        </w:rPr>
        <w:t>-</w:t>
      </w:r>
      <w:r>
        <w:rPr>
          <w:rFonts w:ascii="Times New Roman" w:hAnsi="Times New Roman"/>
          <w:sz w:val="24"/>
          <w:szCs w:val="24"/>
        </w:rPr>
        <w:t>2011</w:t>
      </w:r>
      <w:r>
        <w:rPr>
          <w:rFonts w:hint="eastAsia" w:ascii="Times New Roman" w:hAnsi="Times New Roman"/>
          <w:sz w:val="24"/>
          <w:szCs w:val="24"/>
        </w:rPr>
        <w:t>标准的《职业健康安全管理体系认证证书》；</w:t>
      </w:r>
      <w:bookmarkEnd w:id="53"/>
    </w:p>
    <w:p>
      <w:pPr>
        <w:pStyle w:val="15"/>
        <w:adjustRightInd w:val="0"/>
        <w:snapToGrid w:val="0"/>
        <w:spacing w:line="360" w:lineRule="auto"/>
        <w:ind w:left="540" w:hanging="540" w:hangingChars="225"/>
        <w:jc w:val="left"/>
        <w:rPr>
          <w:rFonts w:hint="eastAsia" w:ascii="Times New Roman" w:hAnsi="宋体"/>
          <w:sz w:val="24"/>
          <w:szCs w:val="24"/>
        </w:rPr>
      </w:pPr>
      <w:r>
        <w:rPr>
          <w:rFonts w:hint="eastAsia" w:ascii="Times New Roman" w:hAnsi="宋体"/>
          <w:sz w:val="24"/>
          <w:szCs w:val="24"/>
        </w:rPr>
        <w:t>3.2.</w:t>
      </w:r>
      <w:r>
        <w:rPr>
          <w:rFonts w:ascii="Times New Roman" w:hAnsi="宋体"/>
          <w:sz w:val="24"/>
          <w:szCs w:val="24"/>
        </w:rPr>
        <w:t>5</w:t>
      </w:r>
      <w:r>
        <w:rPr>
          <w:rFonts w:hint="eastAsia" w:ascii="Times New Roman" w:hAnsi="宋体"/>
          <w:sz w:val="24"/>
          <w:szCs w:val="24"/>
        </w:rPr>
        <w:t xml:space="preserve"> </w:t>
      </w:r>
      <w:bookmarkStart w:id="54" w:name="_Hlk45222221"/>
      <w:r>
        <w:rPr>
          <w:rFonts w:hint="eastAsia" w:ascii="Times New Roman" w:hAnsi="宋体"/>
          <w:sz w:val="24"/>
          <w:szCs w:val="24"/>
        </w:rPr>
        <w:t>应具备足够的信息安全服务技术实力及安全服务保障能力，获得中国网络安全审查技术与认证中心颁发的信息系统安全运维一级服务资质证书。</w:t>
      </w:r>
    </w:p>
    <w:p>
      <w:pPr>
        <w:spacing w:line="360" w:lineRule="auto"/>
        <w:rPr>
          <w:b/>
          <w:sz w:val="18"/>
          <w:szCs w:val="18"/>
        </w:rPr>
      </w:pPr>
      <w:r>
        <w:rPr>
          <w:rFonts w:hint="eastAsia"/>
          <w:sz w:val="18"/>
          <w:szCs w:val="1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45720</wp:posOffset>
                </wp:positionV>
                <wp:extent cx="342900" cy="297180"/>
                <wp:effectExtent l="0" t="0" r="0" b="7620"/>
                <wp:wrapNone/>
                <wp:docPr id="22" name="文本框 22"/>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Cs w:val="21"/>
                              </w:rPr>
                            </w:pPr>
                            <w:r>
                              <w:rPr>
                                <w:rFonts w:hint="eastAsia" w:ascii="宋体" w:hAnsi="宋体" w:cs="宋体"/>
                                <w:kern w:val="0"/>
                                <w:szCs w:val="21"/>
                              </w:rPr>
                              <w:t>★</w:t>
                            </w:r>
                          </w:p>
                        </w:txbxContent>
                      </wps:txbx>
                      <wps:bodyPr upright="1"/>
                    </wps:wsp>
                  </a:graphicData>
                </a:graphic>
              </wp:anchor>
            </w:drawing>
          </mc:Choice>
          <mc:Fallback>
            <w:pict>
              <v:shape id="_x0000_s1026" o:spid="_x0000_s1026" o:spt="202" type="#_x0000_t202" style="position:absolute;left:0pt;margin-left:27pt;margin-top:3.6pt;height:23.4pt;width:27pt;z-index:251659264;mso-width-relative:page;mso-height-relative:page;" fillcolor="#FFFFFF" filled="t" stroked="f" coordsize="21600,21600" o:gfxdata="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BCA3rTAAAABwEAAA8AAAAA&#10;AAAAAQAgAAAAIgAAAGRycy9kb3ducmV2LnhtbFBLAQIUABQAAAAIAIdO4kAW/uQIpwEAACoDAAAO&#10;AAAAAAAAAAEAIAAAACIBAABkcnMvZTJvRG9jLnhtbFBLBQYAAAAABgAGAFkBAAA7BQAAAAA=&#10;">
                <v:fill on="t" focussize="0,0"/>
                <v:stroke on="f"/>
                <v:imagedata o:title=""/>
                <o:lock v:ext="edit" aspectratio="f"/>
                <v:textbox>
                  <w:txbxContent>
                    <w:p>
                      <w:pPr>
                        <w:rPr>
                          <w:szCs w:val="21"/>
                        </w:rPr>
                      </w:pPr>
                      <w:r>
                        <w:rPr>
                          <w:rFonts w:hint="eastAsia" w:ascii="宋体" w:hAnsi="宋体" w:cs="宋体"/>
                          <w:kern w:val="0"/>
                          <w:szCs w:val="21"/>
                        </w:rPr>
                        <w:t>★</w:t>
                      </w:r>
                    </w:p>
                  </w:txbxContent>
                </v:textbox>
              </v:shape>
            </w:pict>
          </mc:Fallback>
        </mc:AlternateContent>
      </w:r>
      <w:r>
        <w:rPr>
          <w:rFonts w:hint="eastAsia"/>
          <w:sz w:val="18"/>
          <w:szCs w:val="18"/>
        </w:rPr>
        <w:t>注：“       ”为关键指标必须满足</w:t>
      </w:r>
      <w:r>
        <w:rPr>
          <w:b/>
          <w:sz w:val="18"/>
          <w:szCs w:val="18"/>
        </w:rPr>
        <w:t xml:space="preserve"> </w:t>
      </w:r>
    </w:p>
    <w:p>
      <w:pPr>
        <w:pStyle w:val="15"/>
        <w:adjustRightInd w:val="0"/>
        <w:snapToGrid w:val="0"/>
        <w:spacing w:line="360" w:lineRule="auto"/>
        <w:ind w:left="540" w:hanging="540" w:hangingChars="225"/>
        <w:jc w:val="left"/>
        <w:rPr>
          <w:rFonts w:ascii="Times New Roman" w:hAnsi="宋体"/>
          <w:sz w:val="24"/>
          <w:szCs w:val="24"/>
        </w:rPr>
      </w:pPr>
    </w:p>
    <w:bookmarkEnd w:id="54"/>
    <w:p>
      <w:pPr>
        <w:numPr>
          <w:ilvl w:val="0"/>
          <w:numId w:val="3"/>
        </w:numPr>
        <w:tabs>
          <w:tab w:val="clear" w:pos="360"/>
        </w:tabs>
        <w:spacing w:line="360" w:lineRule="auto"/>
        <w:rPr>
          <w:rFonts w:hint="eastAsia" w:ascii="宋体" w:hAnsi="宋体"/>
          <w:b/>
          <w:bCs/>
          <w:sz w:val="24"/>
        </w:rPr>
      </w:pPr>
      <w:r>
        <w:rPr>
          <w:rFonts w:hint="eastAsia" w:ascii="宋体" w:hAnsi="宋体"/>
          <w:b/>
          <w:bCs/>
          <w:sz w:val="24"/>
        </w:rPr>
        <w:t>商务要求</w:t>
      </w:r>
    </w:p>
    <w:p>
      <w:pPr>
        <w:pStyle w:val="15"/>
        <w:adjustRightInd w:val="0"/>
        <w:snapToGrid w:val="0"/>
        <w:spacing w:line="360" w:lineRule="auto"/>
        <w:ind w:firstLine="360" w:firstLineChars="0"/>
        <w:jc w:val="left"/>
        <w:rPr>
          <w:rFonts w:ascii="Times New Roman" w:hAnsi="Times New Roman"/>
          <w:sz w:val="24"/>
          <w:szCs w:val="24"/>
        </w:rPr>
      </w:pPr>
      <w:r>
        <w:rPr>
          <w:rFonts w:hint="eastAsia" w:ascii="宋体" w:hAnsi="宋体"/>
          <w:sz w:val="24"/>
          <w:szCs w:val="24"/>
        </w:rPr>
        <w:t>系统</w:t>
      </w:r>
      <w:r>
        <w:rPr>
          <w:rFonts w:ascii="Times New Roman" w:hAnsi="宋体"/>
          <w:sz w:val="24"/>
          <w:szCs w:val="24"/>
        </w:rPr>
        <w:t>提供三年原厂保修和升级服务。</w:t>
      </w:r>
    </w:p>
    <w:p>
      <w:pPr>
        <w:numPr>
          <w:ilvl w:val="0"/>
          <w:numId w:val="3"/>
        </w:numPr>
        <w:spacing w:line="360" w:lineRule="auto"/>
        <w:rPr>
          <w:rFonts w:hint="eastAsia" w:ascii="宋体" w:hAnsi="宋体"/>
          <w:b/>
          <w:bCs/>
          <w:sz w:val="24"/>
        </w:rPr>
      </w:pPr>
      <w:r>
        <w:rPr>
          <w:rFonts w:hint="eastAsia" w:ascii="宋体" w:hAnsi="宋体"/>
          <w:b/>
          <w:color w:val="000000"/>
          <w:sz w:val="24"/>
        </w:rPr>
        <w:t>项目清单</w:t>
      </w:r>
    </w:p>
    <w:tbl>
      <w:tblPr>
        <w:tblStyle w:val="11"/>
        <w:tblW w:w="0" w:type="auto"/>
        <w:jc w:val="center"/>
        <w:tblLayout w:type="fixed"/>
        <w:tblCellMar>
          <w:top w:w="0" w:type="dxa"/>
          <w:left w:w="30" w:type="dxa"/>
          <w:bottom w:w="0" w:type="dxa"/>
          <w:right w:w="30" w:type="dxa"/>
        </w:tblCellMar>
      </w:tblPr>
      <w:tblGrid>
        <w:gridCol w:w="471"/>
        <w:gridCol w:w="3489"/>
        <w:gridCol w:w="2760"/>
        <w:gridCol w:w="642"/>
        <w:gridCol w:w="960"/>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rPr>
            </w:pPr>
            <w:r>
              <w:rPr>
                <w:rFonts w:hint="eastAsia" w:ascii="宋体" w:hAnsi="Arial" w:cs="宋体"/>
                <w:b/>
                <w:color w:val="000000"/>
                <w:kern w:val="0"/>
                <w:sz w:val="20"/>
                <w:szCs w:val="20"/>
              </w:rPr>
              <w:t>备注</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18"/>
                <w:szCs w:val="18"/>
              </w:rPr>
            </w:pPr>
            <w:r>
              <w:rPr>
                <w:rFonts w:hint="eastAsia" w:ascii="宋体" w:hAnsi="宋体"/>
                <w:color w:val="000000"/>
                <w:sz w:val="18"/>
                <w:szCs w:val="18"/>
              </w:rPr>
              <w:t>网络漏洞扫描系统</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18"/>
                <w:szCs w:val="18"/>
              </w:rPr>
            </w:pPr>
            <w:r>
              <w:rPr>
                <w:rFonts w:hint="eastAsia" w:ascii="宋体" w:hAnsi="宋体"/>
                <w:sz w:val="18"/>
                <w:szCs w:val="18"/>
              </w:rPr>
              <w:t>见本要求“二、技术要求”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18"/>
                <w:szCs w:val="18"/>
              </w:rPr>
            </w:pPr>
            <w:r>
              <w:rPr>
                <w:rFonts w:hint="eastAsia" w:ascii="宋体" w:hAnsi="Arial" w:cs="宋体"/>
                <w:kern w:val="0"/>
                <w:sz w:val="18"/>
                <w:szCs w:val="18"/>
              </w:rPr>
              <w:t>1</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adjustRightInd w:val="0"/>
        <w:snapToGrid w:val="0"/>
        <w:spacing w:line="360" w:lineRule="exact"/>
        <w:rPr>
          <w:rFonts w:hint="eastAsia" w:ascii="宋体" w:hAnsi="宋体" w:cs="宋体"/>
          <w:sz w:val="24"/>
        </w:rPr>
      </w:pPr>
    </w:p>
    <w:p>
      <w:pPr>
        <w:pStyle w:val="16"/>
        <w:adjustRightInd w:val="0"/>
        <w:snapToGrid w:val="0"/>
        <w:spacing w:before="0" w:after="0" w:line="360" w:lineRule="exact"/>
        <w:rPr>
          <w:rFonts w:hint="eastAsia"/>
          <w:b/>
        </w:rPr>
      </w:pPr>
      <w:r>
        <w:rPr>
          <w:rFonts w:hint="eastAsia"/>
          <w:b/>
        </w:rPr>
        <w:t>六、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2、凡涉及</w:t>
      </w:r>
      <w:r>
        <w:rPr>
          <w:rFonts w:hint="eastAsia" w:ascii="宋体" w:hAnsi="宋体" w:cs="宋体"/>
          <w:sz w:val="24"/>
          <w:lang w:eastAsia="zh-CN"/>
        </w:rPr>
        <w:t>采购文件</w:t>
      </w:r>
      <w:r>
        <w:rPr>
          <w:rFonts w:hint="eastAsia" w:ascii="宋体" w:hAnsi="宋体" w:cs="宋体"/>
          <w:sz w:val="24"/>
        </w:rPr>
        <w:t>的补充说明和修改，均以南邮通达学院公示的补充通知为准。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55" w:name="_Toc26554093"/>
      <w:bookmarkStart w:id="56" w:name="_Toc49090575"/>
      <w:bookmarkStart w:id="57" w:name="_Toc120614281"/>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58"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58"/>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2.技术参数响应情况(3</w:t>
      </w:r>
      <w:r>
        <w:rPr>
          <w:rFonts w:hint="eastAsia" w:ascii="宋体" w:hAnsi="宋体"/>
          <w:b/>
          <w:bCs/>
          <w:color w:val="000000"/>
          <w:sz w:val="24"/>
          <w:lang w:val="en-US" w:eastAsia="zh-CN"/>
        </w:rPr>
        <w:t>0</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根据各投标文件对技术性能的响应情况（加“★”号技术参数，完全响应得24分，负偏离一项扣3分，正偏离一项加2分（</w:t>
      </w:r>
      <w:r>
        <w:rPr>
          <w:rFonts w:hint="eastAsia" w:ascii="宋体" w:hAnsi="宋体"/>
          <w:color w:val="000000"/>
          <w:sz w:val="24"/>
          <w:lang w:eastAsia="zh-CN"/>
        </w:rPr>
        <w:t>评审专家组</w:t>
      </w:r>
      <w:r>
        <w:rPr>
          <w:rFonts w:hint="eastAsia" w:ascii="宋体" w:hAnsi="宋体"/>
          <w:color w:val="000000"/>
          <w:sz w:val="24"/>
        </w:rPr>
        <w:t>认为超出指标有意义），最高得分为3</w:t>
      </w:r>
      <w:r>
        <w:rPr>
          <w:rFonts w:hint="eastAsia" w:ascii="宋体" w:hAnsi="宋体"/>
          <w:color w:val="000000"/>
          <w:sz w:val="24"/>
          <w:lang w:val="en-US" w:eastAsia="zh-CN"/>
        </w:rPr>
        <w:t>0</w:t>
      </w:r>
      <w:r>
        <w:rPr>
          <w:rFonts w:hint="eastAsia" w:ascii="宋体" w:hAnsi="宋体"/>
          <w:color w:val="000000"/>
          <w:sz w:val="24"/>
        </w:rPr>
        <w:t>分。有三项及以上负偏离本大项不得分。</w:t>
      </w:r>
    </w:p>
    <w:p>
      <w:pPr>
        <w:tabs>
          <w:tab w:val="left" w:pos="0"/>
          <w:tab w:val="left" w:pos="600"/>
          <w:tab w:val="left" w:pos="1134"/>
        </w:tabs>
        <w:adjustRightInd w:val="0"/>
        <w:snapToGrid w:val="0"/>
        <w:spacing w:line="360" w:lineRule="auto"/>
        <w:rPr>
          <w:rFonts w:hint="eastAsia" w:ascii="宋体" w:hAnsi="宋体"/>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
          <w:bCs/>
          <w:color w:val="000000"/>
          <w:sz w:val="24"/>
          <w:lang w:val="en-US" w:eastAsia="zh-CN"/>
        </w:rPr>
        <w:t xml:space="preserve"> </w:t>
      </w:r>
      <w:r>
        <w:rPr>
          <w:rFonts w:hint="eastAsia" w:ascii="宋体" w:hAnsi="宋体"/>
          <w:b/>
          <w:bCs/>
          <w:color w:val="000000"/>
          <w:sz w:val="24"/>
        </w:rPr>
        <w:t xml:space="preserve"> </w:t>
      </w:r>
      <w:r>
        <w:rPr>
          <w:rFonts w:hint="eastAsia" w:ascii="宋体" w:hAnsi="宋体"/>
          <w:b/>
          <w:bCs/>
          <w:color w:val="000000"/>
          <w:sz w:val="24"/>
          <w:lang w:val="en-US" w:eastAsia="zh-CN"/>
        </w:rPr>
        <w:t>3.</w:t>
      </w:r>
      <w:r>
        <w:rPr>
          <w:rFonts w:hint="eastAsia" w:ascii="宋体" w:hAnsi="宋体"/>
          <w:b/>
          <w:bCs/>
          <w:color w:val="000000"/>
          <w:sz w:val="24"/>
        </w:rPr>
        <w:t>质量与功能评价（</w:t>
      </w:r>
      <w:r>
        <w:rPr>
          <w:rFonts w:hint="eastAsia" w:ascii="宋体" w:hAnsi="宋体"/>
          <w:b/>
          <w:bCs/>
          <w:color w:val="000000"/>
          <w:sz w:val="24"/>
          <w:lang w:val="en-US" w:eastAsia="zh-CN"/>
        </w:rPr>
        <w:t>5</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质量性能评价：5分，根据投标产品的配置合理性、可靠性、先进性等（提供有效期内的质量管理等证书）进行比较评分，产品配置合理、可靠性高得5分，产品配置一般、可靠性一般得3分，产品配置较差、可靠性差得1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4.</w:t>
      </w:r>
      <w:r>
        <w:rPr>
          <w:rFonts w:hint="eastAsia" w:ascii="宋体" w:hAnsi="宋体"/>
          <w:b/>
          <w:sz w:val="24"/>
        </w:rPr>
        <w:t>售后服务和承诺（</w:t>
      </w:r>
      <w:r>
        <w:rPr>
          <w:rFonts w:hint="eastAsia" w:ascii="宋体" w:hAnsi="宋体"/>
          <w:b/>
          <w:sz w:val="24"/>
          <w:lang w:val="en-US" w:eastAsia="zh-CN"/>
        </w:rPr>
        <w:t>15</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（1）维保期内及期后服务方案：如服务体系、服务内容</w:t>
      </w:r>
      <w:r>
        <w:rPr>
          <w:rFonts w:hint="eastAsia" w:ascii="宋体" w:hAnsi="宋体"/>
          <w:color w:val="000000"/>
          <w:sz w:val="24"/>
          <w:lang w:eastAsia="zh-CN"/>
        </w:rPr>
        <w:t>、培训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w:t>
      </w:r>
      <w:r>
        <w:rPr>
          <w:rFonts w:hint="eastAsia" w:ascii="宋体" w:hAnsi="宋体"/>
          <w:color w:val="000000"/>
          <w:sz w:val="24"/>
        </w:rPr>
        <w:t>需求，得3分；免费维保期每延长1年，加2分，最高加4分；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响应时间3分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3</w:t>
      </w:r>
      <w:r>
        <w:rPr>
          <w:rFonts w:hint="eastAsia" w:ascii="宋体" w:hAnsi="宋体"/>
          <w:color w:val="000000"/>
          <w:sz w:val="24"/>
          <w:lang w:eastAsia="zh-CN"/>
        </w:rPr>
        <w:t>分，良好2分，一般1分。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5</w:t>
      </w:r>
      <w:r>
        <w:rPr>
          <w:rFonts w:hint="eastAsia" w:ascii="宋体" w:hAnsi="宋体"/>
          <w:b/>
          <w:sz w:val="24"/>
        </w:rPr>
        <w:t xml:space="preserve">.投标人履行合同的能力及业绩（10分）        </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sz w:val="24"/>
        </w:rPr>
      </w:pPr>
      <w:r>
        <w:rPr>
          <w:rFonts w:hint="eastAsia" w:ascii="宋体" w:hAnsi="宋体"/>
          <w:sz w:val="24"/>
        </w:rPr>
        <w:t>（1）主要对投标人的</w:t>
      </w:r>
      <w:r>
        <w:rPr>
          <w:rFonts w:hint="eastAsia" w:ascii="宋体" w:hAnsi="宋体"/>
          <w:sz w:val="24"/>
          <w:lang w:eastAsia="zh-CN"/>
        </w:rPr>
        <w:t>公司综合实力</w:t>
      </w:r>
      <w:r>
        <w:rPr>
          <w:rFonts w:hint="eastAsia" w:ascii="宋体" w:hAnsi="宋体"/>
          <w:sz w:val="24"/>
        </w:rPr>
        <w:t>、银行资信、经营状况</w:t>
      </w:r>
      <w:r>
        <w:rPr>
          <w:rFonts w:hint="eastAsia" w:ascii="宋体" w:hAnsi="宋体"/>
          <w:sz w:val="24"/>
          <w:lang w:eastAsia="zh-CN"/>
        </w:rPr>
        <w:t>（财务报表）</w:t>
      </w:r>
      <w:r>
        <w:rPr>
          <w:rFonts w:hint="eastAsia" w:ascii="宋体" w:hAnsi="宋体"/>
          <w:sz w:val="24"/>
        </w:rPr>
        <w:t>等进行评价。（4分）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p>
    <w:p>
      <w:pPr>
        <w:spacing w:line="480" w:lineRule="exact"/>
        <w:ind w:firstLine="600" w:firstLineChars="250"/>
        <w:rPr>
          <w:rFonts w:ascii="宋体" w:hAnsi="宋体" w:cs="Arial"/>
          <w:color w:val="000000"/>
          <w:sz w:val="24"/>
        </w:rPr>
      </w:pPr>
    </w:p>
    <w:p>
      <w:pPr>
        <w:spacing w:line="400" w:lineRule="exact"/>
        <w:ind w:firstLine="600" w:firstLineChars="250"/>
        <w:rPr>
          <w:rFonts w:ascii="宋体" w:hAnsi="宋体" w:cs="Arial"/>
          <w:color w:val="000000"/>
          <w:sz w:val="24"/>
        </w:rPr>
      </w:pPr>
    </w:p>
    <w:p>
      <w:pPr>
        <w:rPr>
          <w:rFonts w:hint="eastAsia" w:ascii="黑体" w:eastAsia="黑体"/>
          <w:color w:val="000000"/>
          <w:sz w:val="28"/>
          <w:szCs w:val="28"/>
        </w:rPr>
      </w:pPr>
    </w:p>
    <w:bookmarkEnd w:id="29"/>
    <w:bookmarkEnd w:id="30"/>
    <w:bookmarkEnd w:id="55"/>
    <w:bookmarkEnd w:id="56"/>
    <w:bookmarkEnd w:id="57"/>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59" w:name="_Hlt26671244"/>
      <w:bookmarkEnd w:id="59"/>
      <w:bookmarkStart w:id="60" w:name="_Hlt26955039"/>
      <w:bookmarkEnd w:id="60"/>
      <w:bookmarkStart w:id="61" w:name="_Toc26554094"/>
      <w:bookmarkStart w:id="62" w:name="_Toc49090576"/>
      <w:bookmarkStart w:id="63"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p>
      <w:pPr>
        <w:spacing w:line="440" w:lineRule="exact"/>
        <w:ind w:firstLine="480" w:firstLineChars="200"/>
        <w:rPr>
          <w:rFonts w:hint="eastAsia" w:ascii="宋体" w:hAnsi="宋体" w:cs="宋体"/>
          <w:sz w:val="24"/>
        </w:rPr>
      </w:pPr>
    </w:p>
    <w:bookmarkEnd w:id="61"/>
    <w:bookmarkEnd w:id="62"/>
    <w:bookmarkEnd w:id="63"/>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64" w:name="_Toc462564147"/>
      <w:bookmarkStart w:id="65"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64"/>
      <w:bookmarkStart w:id="66" w:name="_Hlt26671380"/>
      <w:bookmarkEnd w:id="66"/>
      <w:bookmarkStart w:id="67" w:name="_Hlt26955070"/>
      <w:bookmarkEnd w:id="67"/>
      <w:bookmarkStart w:id="68" w:name="_格式3__银行出具的资信证明"/>
      <w:bookmarkEnd w:id="68"/>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65"/>
      <w:bookmarkStart w:id="69" w:name="_Hlt26955054"/>
      <w:bookmarkEnd w:id="69"/>
      <w:r>
        <w:rPr>
          <w:rFonts w:hint="eastAsia" w:ascii="宋体" w:hAnsi="宋体" w:cs="宋体"/>
          <w:b/>
          <w:sz w:val="32"/>
          <w:szCs w:val="32"/>
        </w:rPr>
        <w:t>六、</w:t>
      </w:r>
      <w:bookmarkStart w:id="70" w:name="_格式2__法定代表人授权书"/>
      <w:bookmarkEnd w:id="70"/>
      <w:bookmarkStart w:id="71" w:name="_Toc120614283"/>
      <w:bookmarkStart w:id="72" w:name="_Toc49090577"/>
      <w:bookmarkStart w:id="73" w:name="_Toc26554095"/>
      <w:bookmarkStart w:id="74" w:name="_Toc22356580"/>
      <w:bookmarkStart w:id="75" w:name="_Toc513029276"/>
      <w:bookmarkStart w:id="76" w:name="_Toc460901585"/>
      <w:bookmarkStart w:id="77" w:name="_Toc23828478"/>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71"/>
    <w:bookmarkEnd w:id="72"/>
    <w:bookmarkEnd w:id="73"/>
    <w:bookmarkEnd w:id="74"/>
    <w:bookmarkEnd w:id="75"/>
    <w:bookmarkEnd w:id="76"/>
    <w:bookmarkEnd w:id="77"/>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78" w:name="_Hlt26955041"/>
      <w:bookmarkEnd w:id="78"/>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05DCE"/>
    <w:multiLevelType w:val="multilevel"/>
    <w:tmpl w:val="42405DCE"/>
    <w:lvl w:ilvl="0" w:tentative="0">
      <w:start w:val="1"/>
      <w:numFmt w:val="decimal"/>
      <w:lvlText w:val="%1."/>
      <w:lvlJc w:val="left"/>
      <w:pPr>
        <w:ind w:left="420" w:hanging="420"/>
      </w:pPr>
      <w:rPr>
        <w:rFonts w:hint="eastAsia" w:cs="Times New Roman"/>
      </w:rPr>
    </w:lvl>
    <w:lvl w:ilvl="1" w:tentative="0">
      <w:start w:val="0"/>
      <w:numFmt w:val="bullet"/>
      <w:lvlText w:val="★"/>
      <w:lvlJc w:val="left"/>
      <w:pPr>
        <w:tabs>
          <w:tab w:val="left" w:pos="780"/>
        </w:tabs>
        <w:ind w:left="780" w:hanging="360"/>
      </w:pPr>
      <w:rPr>
        <w:rFonts w:hint="eastAsia" w:ascii="宋体" w:hAnsi="宋体" w:eastAsia="宋体" w:cs="宋体"/>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2BA6E9D"/>
    <w:multiLevelType w:val="multilevel"/>
    <w:tmpl w:val="52BA6E9D"/>
    <w:lvl w:ilvl="0" w:tentative="0">
      <w:start w:val="1"/>
      <w:numFmt w:val="japaneseCounting"/>
      <w:lvlText w:val="%1、"/>
      <w:lvlJc w:val="left"/>
      <w:pPr>
        <w:tabs>
          <w:tab w:val="left" w:pos="360"/>
        </w:tabs>
        <w:ind w:left="360" w:hanging="360"/>
      </w:pPr>
      <w:rPr>
        <w:rFonts w:hint="default"/>
        <w:b/>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DDFE60"/>
    <w:multiLevelType w:val="singleLevel"/>
    <w:tmpl w:val="58DDFE60"/>
    <w:lvl w:ilvl="0" w:tentative="0">
      <w:start w:val="1"/>
      <w:numFmt w:val="chineseCounting"/>
      <w:suff w:val="nothing"/>
      <w:lvlText w:val="%1、"/>
      <w:lvlJc w:val="left"/>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7900E1"/>
    <w:rsid w:val="02F06B20"/>
    <w:rsid w:val="10C47BBC"/>
    <w:rsid w:val="14E65440"/>
    <w:rsid w:val="15AB1865"/>
    <w:rsid w:val="1A4B0C57"/>
    <w:rsid w:val="1AEC4C35"/>
    <w:rsid w:val="1D4D33FD"/>
    <w:rsid w:val="213F2FBB"/>
    <w:rsid w:val="22717DFC"/>
    <w:rsid w:val="260E7794"/>
    <w:rsid w:val="28E804FD"/>
    <w:rsid w:val="2E78642C"/>
    <w:rsid w:val="2F313A02"/>
    <w:rsid w:val="42EC616B"/>
    <w:rsid w:val="432B4FE8"/>
    <w:rsid w:val="455B37C7"/>
    <w:rsid w:val="56587DDE"/>
    <w:rsid w:val="6CC10001"/>
    <w:rsid w:val="79B84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qFormat/>
    <w:uiPriority w:val="0"/>
    <w:pPr>
      <w:tabs>
        <w:tab w:val="left" w:pos="360"/>
      </w:tabs>
    </w:pPr>
    <w:rPr>
      <w:sz w:val="24"/>
      <w:szCs w:val="24"/>
    </w:rPr>
  </w:style>
  <w:style w:type="paragraph" w:customStyle="1" w:styleId="18">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2020-09-14T06:25:35Z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