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hint="eastAsia" w:ascii="宋体" w:hAnsi="宋体" w:cs="宋体"/>
          <w:sz w:val="32"/>
          <w:szCs w:val="32"/>
        </w:rPr>
      </w:pPr>
      <w:r>
        <w:rPr>
          <w:rFonts w:hint="eastAsia" w:ascii="宋体" w:hAnsi="宋体" w:cs="宋体"/>
          <w:sz w:val="32"/>
          <w:szCs w:val="32"/>
        </w:rPr>
        <w:t>南京邮电大学通达学院校园一卡通运维审计系统采购项目</w:t>
      </w:r>
    </w:p>
    <w:p>
      <w:pPr>
        <w:pStyle w:val="15"/>
        <w:spacing w:before="0" w:after="0"/>
        <w:ind w:firstLine="0"/>
        <w:rPr>
          <w:rFonts w:hint="eastAsia" w:ascii="宋体" w:hAnsi="宋体" w:cs="宋体"/>
        </w:rPr>
      </w:pPr>
    </w:p>
    <w:p>
      <w:pPr>
        <w:pStyle w:val="15"/>
        <w:spacing w:before="0" w:after="0"/>
        <w:ind w:firstLine="0"/>
        <w:rPr>
          <w:rFonts w:hint="eastAsia" w:ascii="宋体" w:hAnsi="宋体" w:cs="宋体"/>
        </w:rPr>
      </w:pPr>
    </w:p>
    <w:p>
      <w:pPr>
        <w:pStyle w:val="15"/>
        <w:ind w:firstLine="0"/>
        <w:jc w:val="center"/>
        <w:rPr>
          <w:rFonts w:hint="eastAsia" w:ascii="宋体" w:hAnsi="宋体" w:cs="宋体"/>
          <w:b/>
          <w:bCs/>
          <w:sz w:val="84"/>
        </w:rPr>
      </w:pPr>
    </w:p>
    <w:p>
      <w:pPr>
        <w:pStyle w:val="15"/>
        <w:ind w:firstLine="0"/>
        <w:jc w:val="center"/>
        <w:rPr>
          <w:rFonts w:hint="eastAsia" w:ascii="宋体" w:hAnsi="宋体" w:cs="宋体"/>
          <w:b/>
          <w:bCs/>
          <w:sz w:val="84"/>
        </w:rPr>
      </w:pPr>
      <w:r>
        <w:rPr>
          <w:rFonts w:hint="eastAsia" w:ascii="宋体" w:hAnsi="宋体" w:cs="宋体"/>
          <w:b/>
          <w:bCs/>
          <w:sz w:val="84"/>
        </w:rPr>
        <w:t>采 购 文 件</w:t>
      </w:r>
    </w:p>
    <w:p>
      <w:pPr>
        <w:pStyle w:val="15"/>
        <w:ind w:firstLine="0"/>
        <w:jc w:val="center"/>
        <w:rPr>
          <w:rFonts w:hint="eastAsia" w:ascii="宋体" w:hAnsi="宋体" w:cs="宋体"/>
          <w:b/>
          <w:bCs/>
          <w:sz w:val="32"/>
        </w:rPr>
      </w:pPr>
    </w:p>
    <w:p>
      <w:pPr>
        <w:pStyle w:val="15"/>
        <w:ind w:firstLine="0"/>
        <w:jc w:val="center"/>
        <w:rPr>
          <w:rFonts w:hint="eastAsia" w:ascii="宋体" w:hAnsi="宋体" w:cs="宋体"/>
          <w:b/>
          <w:sz w:val="36"/>
          <w:szCs w:val="36"/>
        </w:rPr>
      </w:pPr>
    </w:p>
    <w:p>
      <w:pPr>
        <w:adjustRightInd w:val="0"/>
        <w:snapToGrid w:val="0"/>
        <w:spacing w:line="300" w:lineRule="auto"/>
        <w:jc w:val="center"/>
        <w:rPr>
          <w:rFonts w:hint="default" w:ascii="宋体" w:hAnsi="宋体" w:eastAsia="宋体" w:cs="宋体"/>
          <w:b/>
          <w:sz w:val="36"/>
          <w:szCs w:val="36"/>
          <w:lang w:val="en-US" w:eastAsia="zh-CN"/>
        </w:rPr>
      </w:pPr>
      <w:r>
        <w:rPr>
          <w:rFonts w:hint="eastAsia" w:ascii="宋体" w:hAnsi="宋体" w:cs="宋体"/>
          <w:b/>
          <w:sz w:val="36"/>
          <w:szCs w:val="36"/>
        </w:rPr>
        <w:t>项目编号：TDHQ20</w:t>
      </w:r>
      <w:r>
        <w:rPr>
          <w:rFonts w:hint="eastAsia" w:ascii="宋体" w:hAnsi="宋体" w:cs="宋体"/>
          <w:b/>
          <w:sz w:val="36"/>
          <w:szCs w:val="36"/>
          <w:lang w:val="en-US" w:eastAsia="zh-CN"/>
        </w:rPr>
        <w:t>20024</w:t>
      </w:r>
    </w:p>
    <w:p>
      <w:pPr>
        <w:pStyle w:val="15"/>
        <w:ind w:firstLine="0"/>
        <w:jc w:val="center"/>
        <w:rPr>
          <w:rFonts w:hint="eastAsia" w:ascii="宋体" w:hAnsi="宋体" w:cs="宋体"/>
          <w:b/>
          <w:sz w:val="36"/>
          <w:szCs w:val="36"/>
        </w:rPr>
      </w:pPr>
    </w:p>
    <w:p>
      <w:pPr>
        <w:pStyle w:val="15"/>
        <w:spacing w:before="0" w:after="0"/>
        <w:ind w:firstLine="0"/>
        <w:rPr>
          <w:rFonts w:hint="eastAsia" w:ascii="宋体" w:hAnsi="宋体" w:cs="宋体"/>
        </w:rPr>
      </w:pPr>
    </w:p>
    <w:p>
      <w:pPr>
        <w:pStyle w:val="15"/>
        <w:spacing w:before="0" w:after="0"/>
        <w:ind w:firstLine="0"/>
        <w:rPr>
          <w:rFonts w:hint="eastAsia" w:ascii="宋体" w:hAnsi="宋体" w:cs="宋体"/>
        </w:rPr>
      </w:pPr>
    </w:p>
    <w:p>
      <w:pPr>
        <w:pStyle w:val="15"/>
        <w:spacing w:before="0" w:after="0"/>
        <w:ind w:firstLine="0"/>
        <w:rPr>
          <w:rFonts w:hint="eastAsia" w:ascii="宋体" w:hAnsi="宋体" w:cs="宋体"/>
        </w:rPr>
      </w:pPr>
    </w:p>
    <w:p>
      <w:pPr>
        <w:pStyle w:val="15"/>
        <w:spacing w:before="0" w:after="0"/>
        <w:ind w:firstLine="0"/>
        <w:rPr>
          <w:rFonts w:hint="eastAsia" w:ascii="宋体" w:hAnsi="宋体" w:cs="宋体"/>
        </w:rPr>
      </w:pPr>
    </w:p>
    <w:p>
      <w:pPr>
        <w:pStyle w:val="15"/>
        <w:spacing w:before="0" w:after="0"/>
        <w:ind w:firstLine="0"/>
        <w:rPr>
          <w:rFonts w:hint="eastAsia" w:ascii="宋体" w:hAnsi="宋体" w:cs="宋体"/>
        </w:rPr>
      </w:pPr>
    </w:p>
    <w:p>
      <w:pPr>
        <w:pStyle w:val="15"/>
        <w:spacing w:before="0" w:after="0"/>
        <w:ind w:firstLine="0"/>
        <w:rPr>
          <w:rFonts w:hint="eastAsia" w:ascii="宋体" w:hAnsi="宋体" w:cs="宋体"/>
        </w:rPr>
      </w:pPr>
    </w:p>
    <w:p>
      <w:pPr>
        <w:pStyle w:val="15"/>
        <w:spacing w:before="0" w:after="0"/>
        <w:ind w:firstLine="0"/>
        <w:rPr>
          <w:rFonts w:hint="eastAsia" w:ascii="宋体" w:hAnsi="宋体" w:cs="宋体"/>
        </w:rPr>
      </w:pPr>
    </w:p>
    <w:p>
      <w:pPr>
        <w:pStyle w:val="15"/>
        <w:spacing w:before="0" w:after="0"/>
        <w:ind w:firstLine="0"/>
        <w:jc w:val="center"/>
        <w:rPr>
          <w:rFonts w:hint="eastAsia" w:ascii="宋体" w:hAnsi="宋体" w:cs="宋体"/>
          <w:b/>
          <w:sz w:val="30"/>
          <w:szCs w:val="30"/>
        </w:rPr>
      </w:pPr>
      <w:r>
        <w:rPr>
          <w:rFonts w:hint="eastAsia" w:ascii="宋体" w:hAnsi="宋体" w:cs="宋体"/>
          <w:b/>
          <w:sz w:val="30"/>
          <w:szCs w:val="30"/>
        </w:rPr>
        <w:t>南京邮电大学通达学院</w:t>
      </w:r>
    </w:p>
    <w:p>
      <w:pPr>
        <w:pStyle w:val="15"/>
        <w:spacing w:before="0" w:after="0"/>
        <w:ind w:firstLine="0"/>
        <w:jc w:val="center"/>
        <w:rPr>
          <w:rFonts w:hint="eastAsia" w:ascii="宋体" w:hAnsi="宋体" w:cs="宋体"/>
          <w:b/>
          <w:sz w:val="30"/>
          <w:szCs w:val="30"/>
        </w:rPr>
      </w:pPr>
      <w:r>
        <w:rPr>
          <w:rFonts w:hint="eastAsia" w:ascii="宋体" w:hAnsi="宋体" w:cs="宋体"/>
          <w:b/>
          <w:sz w:val="30"/>
          <w:szCs w:val="30"/>
        </w:rPr>
        <w:t>20</w:t>
      </w:r>
      <w:r>
        <w:rPr>
          <w:rFonts w:hint="eastAsia" w:ascii="宋体" w:hAnsi="宋体" w:cs="宋体"/>
          <w:b/>
          <w:sz w:val="30"/>
          <w:szCs w:val="30"/>
          <w:lang w:val="en-US" w:eastAsia="zh-CN"/>
        </w:rPr>
        <w:t>20</w:t>
      </w:r>
      <w:r>
        <w:rPr>
          <w:rFonts w:hint="eastAsia" w:ascii="宋体" w:hAnsi="宋体" w:cs="宋体"/>
          <w:b/>
          <w:sz w:val="30"/>
          <w:szCs w:val="30"/>
        </w:rPr>
        <w:t>年</w:t>
      </w:r>
      <w:r>
        <w:rPr>
          <w:rFonts w:hint="eastAsia" w:ascii="宋体" w:hAnsi="宋体" w:cs="宋体"/>
          <w:b/>
          <w:sz w:val="30"/>
          <w:szCs w:val="30"/>
          <w:lang w:val="en-US" w:eastAsia="zh-CN"/>
        </w:rPr>
        <w:t>10</w:t>
      </w:r>
      <w:r>
        <w:rPr>
          <w:rFonts w:hint="eastAsia" w:ascii="宋体" w:hAnsi="宋体" w:cs="宋体"/>
          <w:b/>
          <w:sz w:val="30"/>
          <w:szCs w:val="30"/>
        </w:rPr>
        <w:t>月</w:t>
      </w:r>
    </w:p>
    <w:p>
      <w:pPr>
        <w:spacing w:line="480" w:lineRule="auto"/>
        <w:jc w:val="center"/>
        <w:outlineLvl w:val="0"/>
        <w:rPr>
          <w:rFonts w:hint="eastAsia" w:ascii="宋体" w:hAnsi="宋体" w:cs="宋体"/>
          <w:b/>
          <w:sz w:val="44"/>
        </w:rPr>
      </w:pPr>
      <w:r>
        <w:rPr>
          <w:rFonts w:hint="eastAsia" w:ascii="宋体" w:hAnsi="宋体" w:cs="宋体"/>
        </w:rPr>
        <w:br w:type="page"/>
      </w:r>
      <w:bookmarkStart w:id="0" w:name="_Toc120614210"/>
      <w:bookmarkStart w:id="1" w:name="_Toc16938516"/>
      <w:bookmarkStart w:id="2" w:name="_Toc523127445"/>
      <w:bookmarkStart w:id="3" w:name="_Toc479757206"/>
      <w:bookmarkStart w:id="4" w:name="_Toc20823272"/>
      <w:bookmarkStart w:id="5" w:name="_Toc513029200"/>
      <w:r>
        <w:rPr>
          <w:rFonts w:hint="eastAsia" w:ascii="宋体" w:hAnsi="宋体" w:cs="宋体"/>
          <w:b/>
          <w:sz w:val="44"/>
        </w:rPr>
        <w:t>目  录</w:t>
      </w:r>
    </w:p>
    <w:p>
      <w:pPr>
        <w:spacing w:line="480" w:lineRule="auto"/>
        <w:rPr>
          <w:rFonts w:hint="eastAsia" w:ascii="宋体" w:hAnsi="宋体" w:cs="宋体"/>
          <w:b/>
          <w:sz w:val="28"/>
        </w:rPr>
      </w:pPr>
    </w:p>
    <w:p>
      <w:pPr>
        <w:numPr>
          <w:ilvl w:val="0"/>
          <w:numId w:val="1"/>
        </w:numPr>
        <w:spacing w:line="480" w:lineRule="auto"/>
        <w:outlineLvl w:val="0"/>
        <w:rPr>
          <w:rFonts w:hint="eastAsia" w:ascii="宋体" w:hAnsi="宋体" w:cs="宋体"/>
          <w:sz w:val="32"/>
        </w:rPr>
      </w:pPr>
      <w:r>
        <w:rPr>
          <w:rFonts w:hint="eastAsia" w:ascii="宋体" w:hAnsi="宋体" w:cs="宋体"/>
          <w:sz w:val="36"/>
        </w:rPr>
        <w:t>采购公告……………………………………2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投标人须知</w:t>
      </w:r>
      <w:r>
        <w:rPr>
          <w:rFonts w:hint="eastAsia" w:ascii="宋体" w:hAnsi="宋体" w:cs="宋体"/>
          <w:sz w:val="36"/>
          <w:szCs w:val="36"/>
        </w:rPr>
        <w:t>…</w:t>
      </w:r>
      <w:r>
        <w:rPr>
          <w:rFonts w:hint="eastAsia" w:ascii="宋体" w:hAnsi="宋体" w:cs="宋体"/>
          <w:sz w:val="36"/>
        </w:rPr>
        <w:t xml:space="preserve">………………………………3 </w:t>
      </w:r>
    </w:p>
    <w:p>
      <w:pPr>
        <w:numPr>
          <w:ilvl w:val="0"/>
          <w:numId w:val="1"/>
        </w:numPr>
        <w:spacing w:line="480" w:lineRule="auto"/>
        <w:outlineLvl w:val="0"/>
        <w:rPr>
          <w:rFonts w:hint="eastAsia" w:ascii="宋体" w:hAnsi="宋体" w:cs="宋体"/>
          <w:sz w:val="36"/>
        </w:rPr>
      </w:pPr>
      <w:r>
        <w:rPr>
          <w:rFonts w:hint="eastAsia" w:ascii="宋体" w:hAnsi="宋体" w:cs="宋体"/>
          <w:sz w:val="36"/>
        </w:rPr>
        <w:t>合同条款及格式……………………………9</w:t>
      </w:r>
    </w:p>
    <w:p>
      <w:pPr>
        <w:numPr>
          <w:ilvl w:val="0"/>
          <w:numId w:val="1"/>
        </w:numPr>
        <w:spacing w:line="480" w:lineRule="auto"/>
        <w:outlineLvl w:val="0"/>
        <w:rPr>
          <w:rFonts w:hint="eastAsia" w:ascii="宋体" w:hAnsi="宋体" w:cs="宋体"/>
          <w:sz w:val="36"/>
        </w:rPr>
      </w:pPr>
      <w:r>
        <w:rPr>
          <w:rFonts w:hint="eastAsia" w:ascii="宋体" w:hAnsi="宋体" w:cs="宋体"/>
          <w:sz w:val="36"/>
        </w:rPr>
        <w:t>项目需求……………………………………12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评标方法与评标标准</w:t>
      </w:r>
      <w:r>
        <w:rPr>
          <w:rFonts w:hint="eastAsia" w:ascii="宋体" w:hAnsi="宋体" w:cs="宋体"/>
          <w:sz w:val="36"/>
        </w:rPr>
        <w:t>………………………17</w:t>
      </w:r>
    </w:p>
    <w:p>
      <w:pPr>
        <w:numPr>
          <w:ilvl w:val="0"/>
          <w:numId w:val="1"/>
        </w:numPr>
        <w:spacing w:line="480" w:lineRule="auto"/>
        <w:outlineLvl w:val="0"/>
        <w:rPr>
          <w:rFonts w:hint="eastAsia" w:ascii="宋体" w:hAnsi="宋体" w:cs="宋体"/>
          <w:sz w:val="36"/>
        </w:rPr>
      </w:pPr>
      <w:r>
        <w:rPr>
          <w:rFonts w:hint="eastAsia" w:ascii="宋体" w:hAnsi="宋体" w:cs="宋体"/>
          <w:sz w:val="36"/>
        </w:rPr>
        <w:t>投标文件格式………………………………18</w:t>
      </w:r>
    </w:p>
    <w:p>
      <w:pPr>
        <w:pStyle w:val="5"/>
        <w:adjustRightInd w:val="0"/>
        <w:snapToGrid w:val="0"/>
        <w:spacing w:before="0" w:after="0" w:line="240" w:lineRule="auto"/>
        <w:rPr>
          <w:rFonts w:hint="eastAsia" w:ascii="宋体" w:hAnsi="宋体" w:eastAsia="宋体" w:cs="宋体"/>
        </w:rPr>
        <w:sectPr>
          <w:headerReference r:id="rId3" w:type="default"/>
          <w:footerReference r:id="rId4" w:type="default"/>
          <w:pgSz w:w="11907" w:h="16840"/>
          <w:pgMar w:top="1440" w:right="1080" w:bottom="1440" w:left="1080" w:header="851" w:footer="992" w:gutter="0"/>
          <w:pgNumType w:fmt="decimal" w:start="1"/>
          <w:cols w:space="720" w:num="1"/>
          <w:docGrid w:linePitch="312" w:charSpace="0"/>
        </w:sectPr>
      </w:pPr>
    </w:p>
    <w:p>
      <w:pPr>
        <w:pStyle w:val="5"/>
        <w:adjustRightInd w:val="0"/>
        <w:snapToGrid w:val="0"/>
        <w:spacing w:before="0" w:after="0" w:line="240" w:lineRule="auto"/>
        <w:rPr>
          <w:rFonts w:hint="eastAsia" w:ascii="宋体" w:hAnsi="宋体" w:eastAsia="宋体" w:cs="宋体"/>
        </w:rPr>
      </w:pPr>
      <w:r>
        <w:rPr>
          <w:rFonts w:hint="eastAsia" w:ascii="宋体" w:hAnsi="宋体" w:eastAsia="宋体" w:cs="宋体"/>
        </w:rPr>
        <w:t xml:space="preserve">第一章  </w:t>
      </w:r>
      <w:bookmarkEnd w:id="0"/>
      <w:r>
        <w:rPr>
          <w:rFonts w:hint="eastAsia" w:ascii="宋体" w:hAnsi="宋体" w:eastAsia="宋体" w:cs="宋体"/>
        </w:rPr>
        <w:t>采购公告</w:t>
      </w:r>
    </w:p>
    <w:p>
      <w:pPr>
        <w:pStyle w:val="11"/>
        <w:shd w:val="clear" w:color="auto" w:fill="FFFFFF"/>
        <w:spacing w:before="0" w:beforeAutospacing="0" w:after="0" w:afterAutospacing="0" w:line="480" w:lineRule="exact"/>
        <w:ind w:firstLine="480"/>
        <w:rPr>
          <w:rFonts w:hint="eastAsia"/>
          <w:sz w:val="21"/>
          <w:szCs w:val="21"/>
        </w:rPr>
      </w:pPr>
      <w:r>
        <w:rPr>
          <w:rFonts w:hint="eastAsia"/>
          <w:sz w:val="21"/>
          <w:szCs w:val="21"/>
        </w:rPr>
        <w:t>根据国家招投标的法律法规和南京邮电大学的相关规定，现对南京邮电大学通达学院校园一卡通运维审计系统项目进行公开</w:t>
      </w:r>
      <w:r>
        <w:rPr>
          <w:rFonts w:hint="eastAsia"/>
          <w:sz w:val="21"/>
          <w:szCs w:val="21"/>
          <w:lang w:eastAsia="zh-CN"/>
        </w:rPr>
        <w:t>采购</w:t>
      </w:r>
      <w:r>
        <w:rPr>
          <w:rFonts w:hint="eastAsia"/>
          <w:sz w:val="21"/>
          <w:szCs w:val="21"/>
        </w:rPr>
        <w:t>采购，欢迎符合本次</w:t>
      </w:r>
      <w:r>
        <w:rPr>
          <w:rFonts w:hint="eastAsia"/>
          <w:sz w:val="21"/>
          <w:szCs w:val="21"/>
          <w:lang w:eastAsia="zh-CN"/>
        </w:rPr>
        <w:t>采购</w:t>
      </w:r>
      <w:r>
        <w:rPr>
          <w:rFonts w:hint="eastAsia"/>
          <w:sz w:val="21"/>
          <w:szCs w:val="21"/>
        </w:rPr>
        <w:t>采购要求的企业参加投标。</w:t>
      </w:r>
    </w:p>
    <w:p>
      <w:pPr>
        <w:pStyle w:val="11"/>
        <w:numPr>
          <w:ilvl w:val="0"/>
          <w:numId w:val="2"/>
        </w:numPr>
        <w:shd w:val="clear" w:color="auto" w:fill="FFFFFF"/>
        <w:spacing w:before="0" w:beforeAutospacing="0" w:after="0" w:afterAutospacing="0" w:line="480" w:lineRule="exact"/>
        <w:ind w:firstLine="480"/>
        <w:rPr>
          <w:rFonts w:hint="eastAsia"/>
          <w:sz w:val="21"/>
          <w:szCs w:val="21"/>
        </w:rPr>
      </w:pPr>
      <w:r>
        <w:rPr>
          <w:rFonts w:hint="eastAsia"/>
          <w:sz w:val="21"/>
          <w:szCs w:val="21"/>
        </w:rPr>
        <w:t>采购项目名称及编号：南京邮电大学通达学院校园一卡通运维审计系统采购项目。（项目编号TDHQ20</w:t>
      </w:r>
      <w:r>
        <w:rPr>
          <w:rFonts w:hint="eastAsia"/>
          <w:sz w:val="21"/>
          <w:szCs w:val="21"/>
          <w:lang w:val="en-US" w:eastAsia="zh-CN"/>
        </w:rPr>
        <w:t>20023</w:t>
      </w:r>
      <w:r>
        <w:rPr>
          <w:rFonts w:hint="eastAsia"/>
          <w:sz w:val="21"/>
          <w:szCs w:val="21"/>
        </w:rPr>
        <w:t>）</w:t>
      </w:r>
    </w:p>
    <w:p>
      <w:pPr>
        <w:pStyle w:val="11"/>
        <w:numPr>
          <w:ilvl w:val="0"/>
          <w:numId w:val="2"/>
        </w:numPr>
        <w:shd w:val="clear" w:color="auto" w:fill="FFFFFF"/>
        <w:spacing w:before="0" w:beforeAutospacing="0" w:after="0" w:afterAutospacing="0" w:line="480" w:lineRule="exact"/>
        <w:ind w:firstLine="480"/>
        <w:rPr>
          <w:rFonts w:hint="eastAsia"/>
          <w:sz w:val="21"/>
          <w:szCs w:val="21"/>
        </w:rPr>
      </w:pPr>
      <w:r>
        <w:rPr>
          <w:rFonts w:hint="eastAsia"/>
          <w:sz w:val="21"/>
          <w:szCs w:val="21"/>
        </w:rPr>
        <w:t>采购项目简要说明：1.南京邮电大学通达学院</w:t>
      </w:r>
      <w:bookmarkStart w:id="6" w:name="OLE_LINK1"/>
      <w:r>
        <w:rPr>
          <w:rFonts w:hint="eastAsia"/>
          <w:sz w:val="21"/>
          <w:szCs w:val="21"/>
        </w:rPr>
        <w:t>拟采购</w:t>
      </w:r>
      <w:bookmarkEnd w:id="6"/>
      <w:r>
        <w:rPr>
          <w:rFonts w:hint="eastAsia"/>
          <w:sz w:val="21"/>
          <w:szCs w:val="21"/>
        </w:rPr>
        <w:t>校园一卡通运维审计系统1套（具体采购数量及要求参见甲方采购文件）。2.项目地点：扬州市润扬南路33号。3.技术条款咨询联系人：黄老师 ，联系电话：0514-89716020。（注：如不咨询，视为已理解该技术指标。）</w:t>
      </w:r>
    </w:p>
    <w:p>
      <w:pPr>
        <w:pStyle w:val="11"/>
        <w:numPr>
          <w:ilvl w:val="0"/>
          <w:numId w:val="2"/>
        </w:numPr>
        <w:shd w:val="clear" w:color="auto" w:fill="FFFFFF"/>
        <w:spacing w:before="0" w:beforeAutospacing="0" w:after="0" w:afterAutospacing="0" w:line="480" w:lineRule="exact"/>
        <w:ind w:firstLine="480"/>
        <w:rPr>
          <w:rFonts w:hint="eastAsia"/>
          <w:sz w:val="21"/>
          <w:szCs w:val="21"/>
        </w:rPr>
      </w:pPr>
      <w:r>
        <w:rPr>
          <w:rFonts w:hint="eastAsia"/>
          <w:sz w:val="21"/>
          <w:szCs w:val="21"/>
        </w:rPr>
        <w:t xml:space="preserve"> 投标人资质要求:</w:t>
      </w:r>
    </w:p>
    <w:p>
      <w:pPr>
        <w:pStyle w:val="11"/>
        <w:shd w:val="clear" w:color="auto" w:fill="FFFFFF"/>
        <w:spacing w:before="0" w:beforeAutospacing="0" w:after="0" w:afterAutospacing="0" w:line="480" w:lineRule="exact"/>
        <w:rPr>
          <w:rFonts w:hint="eastAsia"/>
          <w:sz w:val="21"/>
          <w:szCs w:val="21"/>
        </w:rPr>
      </w:pPr>
      <w:r>
        <w:rPr>
          <w:rFonts w:hint="eastAsia"/>
          <w:sz w:val="21"/>
          <w:szCs w:val="21"/>
        </w:rPr>
        <w:t xml:space="preserve">    1</w:t>
      </w:r>
      <w:r>
        <w:rPr>
          <w:rFonts w:hint="eastAsia"/>
          <w:sz w:val="21"/>
          <w:szCs w:val="21"/>
          <w:lang w:val="en-US" w:eastAsia="zh-CN"/>
        </w:rPr>
        <w:t>.</w:t>
      </w:r>
      <w:r>
        <w:rPr>
          <w:rFonts w:hint="eastAsia"/>
          <w:sz w:val="21"/>
          <w:szCs w:val="21"/>
        </w:rPr>
        <w:t>投标人必须是经国家有关部门批准，具有合法经营资质、符合《中华人民共和国政府采购法》第二十二条规定的独立法人；</w:t>
      </w:r>
    </w:p>
    <w:p>
      <w:pPr>
        <w:pStyle w:val="11"/>
        <w:shd w:val="clear" w:color="auto" w:fill="FFFFFF"/>
        <w:spacing w:before="0" w:beforeAutospacing="0" w:after="0" w:afterAutospacing="0" w:line="480" w:lineRule="exact"/>
        <w:rPr>
          <w:rFonts w:hint="eastAsia"/>
          <w:sz w:val="21"/>
          <w:szCs w:val="21"/>
        </w:rPr>
      </w:pPr>
      <w:r>
        <w:rPr>
          <w:rFonts w:hint="eastAsia"/>
          <w:sz w:val="21"/>
          <w:szCs w:val="21"/>
        </w:rPr>
        <w:t xml:space="preserve">    2</w:t>
      </w:r>
      <w:r>
        <w:rPr>
          <w:rFonts w:hint="eastAsia"/>
          <w:sz w:val="21"/>
          <w:szCs w:val="21"/>
          <w:lang w:val="en-US" w:eastAsia="zh-CN"/>
        </w:rPr>
        <w:t>.</w:t>
      </w:r>
      <w:r>
        <w:rPr>
          <w:rFonts w:hint="eastAsia"/>
          <w:sz w:val="21"/>
          <w:szCs w:val="21"/>
        </w:rPr>
        <w:t>投标人须提供原厂质保承诺函（原件）；投标人若非生产者，须提供生产者或其驻中国办事机构（或生产者授权的中国境内最高级别代理机构）针对本项目的专项授权书原件(加盖公章)或投标人取得的产品代理证书；</w:t>
      </w:r>
    </w:p>
    <w:p>
      <w:pPr>
        <w:pStyle w:val="11"/>
        <w:shd w:val="clear" w:color="auto" w:fill="FFFFFF"/>
        <w:spacing w:before="0" w:beforeAutospacing="0" w:after="0" w:afterAutospacing="0" w:line="480" w:lineRule="exact"/>
        <w:rPr>
          <w:rFonts w:hint="eastAsia"/>
          <w:sz w:val="21"/>
          <w:szCs w:val="21"/>
        </w:rPr>
      </w:pPr>
      <w:r>
        <w:rPr>
          <w:rFonts w:hint="eastAsia"/>
          <w:sz w:val="21"/>
          <w:szCs w:val="21"/>
        </w:rPr>
        <w:t xml:space="preserve">    3</w:t>
      </w:r>
      <w:r>
        <w:rPr>
          <w:rFonts w:hint="eastAsia"/>
          <w:sz w:val="21"/>
          <w:szCs w:val="21"/>
          <w:lang w:val="en-US" w:eastAsia="zh-CN"/>
        </w:rPr>
        <w:t>.</w:t>
      </w:r>
      <w:r>
        <w:rPr>
          <w:rFonts w:hint="eastAsia"/>
          <w:sz w:val="21"/>
          <w:szCs w:val="21"/>
        </w:rPr>
        <w:t>投标人具有项目必须的技术条件或经营能力，具备法律法规规定的其它条件和良好的社会信誉，在经营活动中没有违法违规记录，近三年内没有被司法部门或行业主管部门处罚，提供书面声明；</w:t>
      </w:r>
    </w:p>
    <w:p>
      <w:pPr>
        <w:pStyle w:val="11"/>
        <w:shd w:val="clear" w:color="auto" w:fill="FFFFFF"/>
        <w:spacing w:before="0" w:beforeAutospacing="0" w:after="0" w:afterAutospacing="0" w:line="480" w:lineRule="exact"/>
        <w:ind w:firstLine="420"/>
        <w:rPr>
          <w:rFonts w:hint="eastAsia"/>
          <w:sz w:val="21"/>
          <w:szCs w:val="21"/>
        </w:rPr>
      </w:pPr>
      <w:r>
        <w:rPr>
          <w:rFonts w:hint="eastAsia"/>
          <w:sz w:val="21"/>
          <w:szCs w:val="21"/>
        </w:rPr>
        <w:t>4</w:t>
      </w:r>
      <w:r>
        <w:rPr>
          <w:rFonts w:hint="eastAsia"/>
          <w:sz w:val="21"/>
          <w:szCs w:val="21"/>
          <w:lang w:val="en-US" w:eastAsia="zh-CN"/>
        </w:rPr>
        <w:t>.</w:t>
      </w:r>
      <w:r>
        <w:rPr>
          <w:rFonts w:hint="eastAsia"/>
          <w:sz w:val="21"/>
          <w:szCs w:val="21"/>
        </w:rPr>
        <w:t>投标人未被“信用中国”（www.creditchina.gov.cn）或“诚信江苏”（www.jscredit.gov.cn）或中国政府采购网（www.ccgp.gov.cn）列入失信被执行人、重大税收违法案件当事人名单、政府采购严重失信行为记录名单，提供网页截图；</w:t>
      </w:r>
    </w:p>
    <w:p>
      <w:pPr>
        <w:pStyle w:val="11"/>
        <w:shd w:val="clear" w:color="auto"/>
        <w:spacing w:before="0" w:beforeAutospacing="0" w:after="0" w:afterAutospacing="0" w:line="480" w:lineRule="exact"/>
        <w:ind w:firstLine="420"/>
        <w:rPr>
          <w:rFonts w:hint="eastAsia"/>
          <w:sz w:val="21"/>
          <w:szCs w:val="21"/>
          <w:lang w:eastAsia="zh-CN"/>
        </w:rPr>
      </w:pPr>
      <w:r>
        <w:rPr>
          <w:rFonts w:hint="eastAsia"/>
          <w:sz w:val="21"/>
          <w:szCs w:val="21"/>
          <w:lang w:val="en-US" w:eastAsia="zh-CN"/>
        </w:rPr>
        <w:t>5.</w:t>
      </w:r>
      <w:r>
        <w:rPr>
          <w:rFonts w:hint="eastAsia"/>
          <w:kern w:val="0"/>
          <w:sz w:val="24"/>
        </w:rPr>
        <w:t>具备中国信息安全测评中心颁发的《国家信息安全测评信息技术产品安全测评证书》, 级别须达到EAL3+及以上</w:t>
      </w:r>
      <w:r>
        <w:rPr>
          <w:rFonts w:hint="eastAsia"/>
          <w:sz w:val="21"/>
          <w:szCs w:val="21"/>
        </w:rPr>
        <w:t xml:space="preserve"> </w:t>
      </w:r>
      <w:r>
        <w:rPr>
          <w:rFonts w:hint="eastAsia"/>
          <w:sz w:val="21"/>
          <w:szCs w:val="21"/>
          <w:lang w:eastAsia="zh-CN"/>
        </w:rPr>
        <w:t>；</w:t>
      </w:r>
    </w:p>
    <w:p>
      <w:pPr>
        <w:pStyle w:val="11"/>
        <w:shd w:val="clear" w:color="auto"/>
        <w:spacing w:before="0" w:beforeAutospacing="0" w:after="0" w:afterAutospacing="0" w:line="480" w:lineRule="exact"/>
        <w:ind w:firstLine="420"/>
        <w:rPr>
          <w:rFonts w:hint="eastAsia"/>
          <w:sz w:val="21"/>
          <w:szCs w:val="21"/>
        </w:rPr>
      </w:pPr>
      <w:r>
        <w:rPr>
          <w:rFonts w:hint="eastAsia"/>
          <w:sz w:val="21"/>
          <w:szCs w:val="21"/>
          <w:lang w:val="en-US" w:eastAsia="zh-CN"/>
        </w:rPr>
        <w:t>6.</w:t>
      </w:r>
      <w:r>
        <w:rPr>
          <w:rFonts w:hAnsi="宋体"/>
          <w:kern w:val="0"/>
          <w:sz w:val="24"/>
        </w:rPr>
        <w:t>具备公安部颁发的《计算机信息系统安全专用产品销售许可证》</w:t>
      </w:r>
      <w:r>
        <w:rPr>
          <w:rFonts w:hint="eastAsia"/>
          <w:sz w:val="21"/>
          <w:szCs w:val="21"/>
        </w:rPr>
        <w:t>；</w:t>
      </w:r>
    </w:p>
    <w:p>
      <w:pPr>
        <w:pStyle w:val="11"/>
        <w:shd w:val="clear" w:color="auto"/>
        <w:spacing w:before="0" w:beforeAutospacing="0" w:after="0" w:afterAutospacing="0" w:line="480" w:lineRule="exact"/>
        <w:ind w:firstLine="420"/>
        <w:rPr>
          <w:rFonts w:hint="eastAsia"/>
          <w:sz w:val="21"/>
          <w:szCs w:val="21"/>
          <w:lang w:eastAsia="zh-CN"/>
        </w:rPr>
      </w:pPr>
      <w:r>
        <w:rPr>
          <w:rFonts w:hint="eastAsia"/>
          <w:sz w:val="21"/>
          <w:szCs w:val="21"/>
          <w:lang w:val="en-US" w:eastAsia="zh-CN"/>
        </w:rPr>
        <w:t>7.</w:t>
      </w:r>
      <w:r>
        <w:rPr>
          <w:rFonts w:hAnsi="宋体"/>
          <w:kern w:val="0"/>
          <w:sz w:val="24"/>
        </w:rPr>
        <w:t>厂家具备国家计算机网络应急技术处理协调中心颁发的《网络安全应急服务支撑单位证书（国家级）》</w:t>
      </w:r>
      <w:r>
        <w:rPr>
          <w:rFonts w:hint="eastAsia"/>
          <w:sz w:val="21"/>
          <w:szCs w:val="21"/>
          <w:lang w:eastAsia="zh-CN"/>
        </w:rPr>
        <w:t>；</w:t>
      </w:r>
    </w:p>
    <w:p>
      <w:pPr>
        <w:pStyle w:val="11"/>
        <w:shd w:val="clear" w:color="auto" w:fill="FFFFFF"/>
        <w:spacing w:before="0" w:beforeAutospacing="0" w:after="0" w:afterAutospacing="0" w:line="480" w:lineRule="exact"/>
        <w:ind w:firstLine="420"/>
        <w:rPr>
          <w:rFonts w:hint="eastAsia"/>
          <w:sz w:val="21"/>
          <w:szCs w:val="21"/>
        </w:rPr>
      </w:pPr>
      <w:r>
        <w:rPr>
          <w:rFonts w:hint="eastAsia"/>
          <w:sz w:val="21"/>
          <w:szCs w:val="21"/>
          <w:lang w:val="en-US" w:eastAsia="zh-CN"/>
        </w:rPr>
        <w:t>8.</w:t>
      </w:r>
      <w:r>
        <w:rPr>
          <w:rFonts w:hint="eastAsia"/>
          <w:sz w:val="21"/>
          <w:szCs w:val="21"/>
        </w:rPr>
        <w:t>本项目不接受联合体投标。</w:t>
      </w:r>
    </w:p>
    <w:p>
      <w:pPr>
        <w:pStyle w:val="11"/>
        <w:shd w:val="clear" w:color="auto" w:fill="FFFFFF"/>
        <w:spacing w:before="0" w:beforeAutospacing="0" w:after="0" w:afterAutospacing="0" w:line="480" w:lineRule="exact"/>
        <w:ind w:firstLine="420"/>
        <w:rPr>
          <w:rFonts w:hint="eastAsia"/>
          <w:sz w:val="21"/>
          <w:szCs w:val="21"/>
        </w:rPr>
      </w:pPr>
    </w:p>
    <w:p>
      <w:pPr>
        <w:pStyle w:val="11"/>
        <w:shd w:val="clear" w:color="auto" w:fill="FFFFFF"/>
        <w:spacing w:before="0" w:beforeAutospacing="0" w:after="0" w:afterAutospacing="0" w:line="480" w:lineRule="exact"/>
        <w:ind w:firstLine="480"/>
        <w:rPr>
          <w:rFonts w:hint="eastAsia"/>
          <w:sz w:val="21"/>
          <w:szCs w:val="21"/>
        </w:rPr>
      </w:pPr>
      <w:r>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w:t>
      </w:r>
      <w:r>
        <w:rPr>
          <w:rFonts w:hint="eastAsia"/>
          <w:sz w:val="21"/>
          <w:szCs w:val="21"/>
          <w:lang w:eastAsia="zh-CN"/>
        </w:rPr>
        <w:t>及</w:t>
      </w:r>
      <w:r>
        <w:rPr>
          <w:rFonts w:hint="eastAsia"/>
          <w:sz w:val="21"/>
          <w:szCs w:val="21"/>
        </w:rPr>
        <w:t>“南京邮电大学通达学院”网页上发布之日起至投标截止时间止。供应商如确定参加投标，请于投标文件递交时间到指定地点登记报名、递交投标文件。</w:t>
      </w:r>
    </w:p>
    <w:p>
      <w:pPr>
        <w:pStyle w:val="11"/>
        <w:shd w:val="clear" w:color="auto" w:fill="FFFFFF"/>
        <w:spacing w:before="0" w:beforeAutospacing="0" w:after="0" w:afterAutospacing="0" w:line="480" w:lineRule="exact"/>
        <w:ind w:firstLine="480"/>
        <w:rPr>
          <w:rFonts w:hint="eastAsia"/>
          <w:sz w:val="21"/>
          <w:szCs w:val="21"/>
        </w:rPr>
      </w:pPr>
      <w:r>
        <w:rPr>
          <w:rFonts w:hint="eastAsia"/>
          <w:sz w:val="21"/>
          <w:szCs w:val="21"/>
        </w:rPr>
        <w:t>五、投标文件接收信息:投标文件接收截止时间：20</w:t>
      </w:r>
      <w:r>
        <w:rPr>
          <w:rFonts w:hint="eastAsia"/>
          <w:sz w:val="21"/>
          <w:szCs w:val="21"/>
          <w:lang w:val="en-US" w:eastAsia="zh-CN"/>
        </w:rPr>
        <w:t>20</w:t>
      </w:r>
      <w:r>
        <w:rPr>
          <w:rFonts w:hint="eastAsia"/>
          <w:sz w:val="21"/>
          <w:szCs w:val="21"/>
        </w:rPr>
        <w:t>年</w:t>
      </w:r>
      <w:r>
        <w:rPr>
          <w:rFonts w:hint="eastAsia"/>
          <w:sz w:val="21"/>
          <w:szCs w:val="21"/>
          <w:lang w:val="en-US" w:eastAsia="zh-CN"/>
        </w:rPr>
        <w:t>10</w:t>
      </w:r>
      <w:r>
        <w:rPr>
          <w:rFonts w:hint="eastAsia"/>
          <w:sz w:val="21"/>
          <w:szCs w:val="21"/>
        </w:rPr>
        <w:t>月</w:t>
      </w:r>
      <w:r>
        <w:rPr>
          <w:rFonts w:hint="eastAsia"/>
          <w:sz w:val="21"/>
          <w:szCs w:val="21"/>
          <w:lang w:val="en-US" w:eastAsia="zh-CN"/>
        </w:rPr>
        <w:t>22</w:t>
      </w:r>
      <w:r>
        <w:rPr>
          <w:rFonts w:hint="eastAsia"/>
          <w:sz w:val="21"/>
          <w:szCs w:val="21"/>
        </w:rPr>
        <w:t>日 上午 11:00。地点：南京邮电大学通达学院行政中心9楼91</w:t>
      </w:r>
      <w:r>
        <w:rPr>
          <w:rFonts w:hint="eastAsia"/>
          <w:sz w:val="21"/>
          <w:szCs w:val="21"/>
          <w:lang w:val="en-US" w:eastAsia="zh-CN"/>
        </w:rPr>
        <w:t>1</w:t>
      </w:r>
      <w:r>
        <w:rPr>
          <w:rFonts w:hint="eastAsia"/>
          <w:sz w:val="21"/>
          <w:szCs w:val="21"/>
        </w:rPr>
        <w:t>办公室。 联系人：</w:t>
      </w:r>
      <w:r>
        <w:rPr>
          <w:rFonts w:hint="eastAsia"/>
          <w:sz w:val="21"/>
          <w:szCs w:val="21"/>
          <w:lang w:eastAsia="zh-CN"/>
        </w:rPr>
        <w:t>李</w:t>
      </w:r>
      <w:r>
        <w:rPr>
          <w:rFonts w:hint="eastAsia"/>
          <w:sz w:val="21"/>
          <w:szCs w:val="21"/>
        </w:rPr>
        <w:t>老师， 联系电话：0514-89716083。 采购单位不接受邮寄、快递等投标，投标文件在投标截止时间后，一律不予退回。</w:t>
      </w:r>
    </w:p>
    <w:p>
      <w:pPr>
        <w:pStyle w:val="11"/>
        <w:shd w:val="clear" w:color="auto" w:fill="FFFFFF"/>
        <w:spacing w:before="0" w:beforeAutospacing="0" w:after="0" w:afterAutospacing="0" w:line="480" w:lineRule="exact"/>
        <w:ind w:firstLine="480"/>
        <w:rPr>
          <w:rFonts w:hint="eastAsia"/>
          <w:sz w:val="21"/>
          <w:szCs w:val="21"/>
        </w:rPr>
      </w:pPr>
      <w:r>
        <w:rPr>
          <w:rFonts w:hint="eastAsia"/>
          <w:sz w:val="21"/>
          <w:szCs w:val="21"/>
        </w:rPr>
        <w:t>六、开标有关信息 :</w:t>
      </w:r>
      <w:r>
        <w:rPr>
          <w:rFonts w:hint="eastAsia"/>
          <w:sz w:val="21"/>
          <w:szCs w:val="21"/>
          <w:lang w:eastAsia="zh-CN"/>
        </w:rPr>
        <w:t>时间：</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10</w:t>
      </w:r>
      <w:r>
        <w:rPr>
          <w:rFonts w:hint="eastAsia"/>
          <w:sz w:val="21"/>
          <w:szCs w:val="21"/>
        </w:rPr>
        <w:t>月</w:t>
      </w:r>
      <w:r>
        <w:rPr>
          <w:rFonts w:hint="eastAsia"/>
          <w:sz w:val="21"/>
          <w:szCs w:val="21"/>
          <w:lang w:val="en-US" w:eastAsia="zh-CN"/>
        </w:rPr>
        <w:t>22</w:t>
      </w:r>
      <w:r>
        <w:rPr>
          <w:rFonts w:hint="eastAsia"/>
          <w:sz w:val="21"/>
          <w:szCs w:val="21"/>
        </w:rPr>
        <w:t>日 上午 11:00</w:t>
      </w:r>
      <w:r>
        <w:rPr>
          <w:rFonts w:hint="eastAsia"/>
          <w:sz w:val="21"/>
          <w:szCs w:val="21"/>
          <w:lang w:val="en-US" w:eastAsia="zh-CN"/>
        </w:rPr>
        <w:t>,地点：行政楼9楼开标室</w:t>
      </w:r>
      <w:r>
        <w:rPr>
          <w:rFonts w:hint="eastAsia"/>
          <w:sz w:val="21"/>
          <w:szCs w:val="21"/>
        </w:rPr>
        <w:t>。</w:t>
      </w:r>
    </w:p>
    <w:p>
      <w:pPr>
        <w:pStyle w:val="11"/>
        <w:shd w:val="clear" w:color="auto" w:fill="FFFFFF"/>
        <w:spacing w:before="0" w:beforeAutospacing="0" w:after="0" w:afterAutospacing="0" w:line="480" w:lineRule="exact"/>
        <w:ind w:firstLine="480"/>
        <w:rPr>
          <w:rFonts w:hint="eastAsia"/>
          <w:sz w:val="21"/>
          <w:szCs w:val="21"/>
        </w:rPr>
      </w:pPr>
      <w:r>
        <w:rPr>
          <w:rFonts w:hint="eastAsia"/>
          <w:sz w:val="21"/>
          <w:szCs w:val="21"/>
        </w:rPr>
        <w:t>七、缴纳费用：投标单位须在投标时缴纳100元标书费，</w:t>
      </w:r>
      <w:r>
        <w:rPr>
          <w:rFonts w:hint="eastAsia"/>
          <w:sz w:val="21"/>
          <w:szCs w:val="21"/>
          <w:lang w:val="en-US" w:eastAsia="zh-CN"/>
        </w:rPr>
        <w:t>2</w:t>
      </w:r>
      <w:r>
        <w:rPr>
          <w:rFonts w:hint="eastAsia"/>
          <w:sz w:val="21"/>
          <w:szCs w:val="21"/>
        </w:rPr>
        <w:t>000元项目投标保证金。</w:t>
      </w:r>
    </w:p>
    <w:p>
      <w:pPr>
        <w:pStyle w:val="11"/>
        <w:shd w:val="clear" w:color="auto" w:fill="FFFFFF"/>
        <w:spacing w:before="0" w:beforeAutospacing="0" w:after="0" w:afterAutospacing="0" w:line="480" w:lineRule="exact"/>
        <w:ind w:firstLine="480"/>
        <w:rPr>
          <w:rFonts w:hint="eastAsia"/>
          <w:sz w:val="21"/>
          <w:szCs w:val="21"/>
        </w:rPr>
      </w:pPr>
      <w:r>
        <w:rPr>
          <w:rFonts w:hint="eastAsia"/>
          <w:sz w:val="21"/>
          <w:szCs w:val="21"/>
        </w:rPr>
        <w:t>八、本次</w:t>
      </w:r>
      <w:r>
        <w:rPr>
          <w:rFonts w:hint="eastAsia"/>
          <w:sz w:val="21"/>
          <w:szCs w:val="21"/>
          <w:lang w:eastAsia="zh-CN"/>
        </w:rPr>
        <w:t>采购</w:t>
      </w:r>
      <w:r>
        <w:rPr>
          <w:rFonts w:hint="eastAsia"/>
          <w:sz w:val="21"/>
          <w:szCs w:val="21"/>
        </w:rPr>
        <w:t>联系事项: 联系人：</w:t>
      </w:r>
      <w:r>
        <w:rPr>
          <w:rFonts w:hint="eastAsia"/>
          <w:sz w:val="21"/>
          <w:szCs w:val="21"/>
          <w:lang w:eastAsia="zh-CN"/>
        </w:rPr>
        <w:t>李</w:t>
      </w:r>
      <w:r>
        <w:rPr>
          <w:rFonts w:hint="eastAsia"/>
          <w:sz w:val="21"/>
          <w:szCs w:val="21"/>
        </w:rPr>
        <w:t>老师， 联系电话：0514-8971608</w:t>
      </w:r>
      <w:r>
        <w:rPr>
          <w:rFonts w:hint="eastAsia"/>
          <w:sz w:val="21"/>
          <w:szCs w:val="21"/>
          <w:lang w:val="en-US" w:eastAsia="zh-CN"/>
        </w:rPr>
        <w:t>3</w:t>
      </w:r>
      <w:r>
        <w:rPr>
          <w:rFonts w:hint="eastAsia"/>
          <w:sz w:val="21"/>
          <w:szCs w:val="21"/>
        </w:rPr>
        <w:t xml:space="preserve">。   </w:t>
      </w:r>
    </w:p>
    <w:p>
      <w:pPr>
        <w:pStyle w:val="11"/>
        <w:shd w:val="clear" w:color="auto" w:fill="FFFFFF"/>
        <w:spacing w:before="0" w:beforeAutospacing="0" w:after="0" w:afterAutospacing="0" w:line="480" w:lineRule="exact"/>
        <w:ind w:firstLine="480"/>
        <w:jc w:val="right"/>
        <w:rPr>
          <w:rFonts w:hint="eastAsia"/>
          <w:sz w:val="21"/>
          <w:szCs w:val="21"/>
        </w:rPr>
      </w:pPr>
      <w:r>
        <w:rPr>
          <w:rFonts w:hint="eastAsia"/>
          <w:sz w:val="21"/>
          <w:szCs w:val="21"/>
        </w:rPr>
        <w:t>南京邮电大学通达学院</w:t>
      </w:r>
      <w:r>
        <w:rPr>
          <w:rFonts w:hint="eastAsia"/>
          <w:sz w:val="21"/>
          <w:szCs w:val="21"/>
          <w:lang w:eastAsia="zh-CN"/>
        </w:rPr>
        <w:t>采购工作小组</w:t>
      </w:r>
      <w:r>
        <w:rPr>
          <w:rFonts w:hint="eastAsia"/>
          <w:sz w:val="21"/>
          <w:szCs w:val="21"/>
        </w:rPr>
        <w:t xml:space="preserve">　　                                                  </w:t>
      </w:r>
    </w:p>
    <w:p>
      <w:pPr>
        <w:pStyle w:val="11"/>
        <w:shd w:val="clear" w:color="auto" w:fill="FFFFFF"/>
        <w:spacing w:before="0" w:beforeAutospacing="0" w:after="0" w:afterAutospacing="0" w:line="480" w:lineRule="exact"/>
        <w:jc w:val="right"/>
        <w:rPr>
          <w:rFonts w:hint="eastAsia"/>
          <w:sz w:val="21"/>
          <w:szCs w:val="21"/>
        </w:rPr>
      </w:pPr>
      <w:r>
        <w:rPr>
          <w:rFonts w:hint="eastAsia"/>
          <w:sz w:val="21"/>
          <w:szCs w:val="21"/>
        </w:rPr>
        <w:t xml:space="preserve">                                                                二〇二〇年</w:t>
      </w:r>
      <w:r>
        <w:rPr>
          <w:rFonts w:hint="eastAsia"/>
          <w:sz w:val="21"/>
          <w:szCs w:val="21"/>
          <w:lang w:eastAsia="zh-CN"/>
        </w:rPr>
        <w:t>十</w:t>
      </w:r>
      <w:r>
        <w:rPr>
          <w:rFonts w:hint="eastAsia"/>
          <w:sz w:val="21"/>
          <w:szCs w:val="21"/>
        </w:rPr>
        <w:t>月</w:t>
      </w:r>
      <w:r>
        <w:rPr>
          <w:rFonts w:hint="eastAsia"/>
          <w:sz w:val="21"/>
          <w:szCs w:val="21"/>
          <w:lang w:eastAsia="zh-CN"/>
        </w:rPr>
        <w:t>十六</w:t>
      </w:r>
      <w:r>
        <w:rPr>
          <w:rFonts w:hint="eastAsia"/>
          <w:sz w:val="21"/>
          <w:szCs w:val="21"/>
        </w:rPr>
        <w:t>日</w:t>
      </w:r>
    </w:p>
    <w:p>
      <w:pPr>
        <w:wordWrap w:val="0"/>
        <w:adjustRightInd w:val="0"/>
        <w:snapToGrid w:val="0"/>
        <w:spacing w:line="330" w:lineRule="exact"/>
        <w:ind w:firstLine="480" w:firstLineChars="200"/>
        <w:jc w:val="right"/>
        <w:rPr>
          <w:rFonts w:hint="eastAsia" w:ascii="宋体" w:hAnsi="宋体" w:cs="宋体"/>
          <w:sz w:val="24"/>
          <w:szCs w:val="24"/>
        </w:rPr>
      </w:pPr>
    </w:p>
    <w:p>
      <w:pPr>
        <w:pStyle w:val="5"/>
        <w:spacing w:line="300" w:lineRule="exact"/>
        <w:rPr>
          <w:rFonts w:hint="eastAsia" w:ascii="宋体" w:hAnsi="宋体" w:eastAsia="宋体" w:cs="宋体"/>
        </w:rPr>
      </w:pPr>
      <w:r>
        <w:rPr>
          <w:rFonts w:hint="eastAsia" w:ascii="宋体" w:hAnsi="宋体" w:eastAsia="宋体" w:cs="宋体"/>
          <w:sz w:val="24"/>
          <w:szCs w:val="24"/>
        </w:rPr>
        <w:br w:type="page"/>
      </w:r>
      <w:bookmarkStart w:id="7" w:name="_Toc120614211"/>
      <w:r>
        <w:rPr>
          <w:rFonts w:hint="eastAsia" w:ascii="宋体" w:hAnsi="宋体" w:eastAsia="宋体" w:cs="宋体"/>
        </w:rPr>
        <w:t xml:space="preserve">第二章  </w:t>
      </w:r>
      <w:bookmarkEnd w:id="1"/>
      <w:bookmarkEnd w:id="2"/>
      <w:bookmarkEnd w:id="3"/>
      <w:bookmarkEnd w:id="4"/>
      <w:bookmarkEnd w:id="5"/>
      <w:bookmarkEnd w:id="7"/>
      <w:bookmarkStart w:id="8" w:name="_Toc120614213"/>
      <w:bookmarkStart w:id="9" w:name="_Toc16938518"/>
      <w:bookmarkStart w:id="10" w:name="_Toc20823274"/>
      <w:bookmarkStart w:id="11" w:name="_Toc513029202"/>
      <w:r>
        <w:rPr>
          <w:rFonts w:hint="eastAsia" w:ascii="宋体" w:hAnsi="宋体" w:eastAsia="宋体" w:cs="宋体"/>
        </w:rPr>
        <w:t>投标人须知</w:t>
      </w:r>
      <w:bookmarkEnd w:id="8"/>
      <w:bookmarkEnd w:id="9"/>
      <w:bookmarkEnd w:id="10"/>
      <w:bookmarkEnd w:id="11"/>
    </w:p>
    <w:p>
      <w:pPr>
        <w:spacing w:line="360" w:lineRule="exact"/>
        <w:ind w:firstLine="482" w:firstLineChars="200"/>
        <w:rPr>
          <w:rFonts w:hint="eastAsia" w:ascii="宋体" w:hAnsi="宋体" w:cs="宋体"/>
          <w:b/>
          <w:sz w:val="24"/>
          <w:szCs w:val="24"/>
        </w:rPr>
      </w:pPr>
      <w:bookmarkStart w:id="12" w:name="_Toc20823275"/>
      <w:bookmarkStart w:id="13" w:name="_Toc513029203"/>
      <w:bookmarkStart w:id="14" w:name="_Toc16938519"/>
      <w:bookmarkStart w:id="15" w:name="_Toc120614214"/>
      <w:r>
        <w:rPr>
          <w:rFonts w:hint="eastAsia" w:ascii="宋体" w:hAnsi="宋体" w:cs="宋体"/>
          <w:b/>
          <w:sz w:val="24"/>
          <w:szCs w:val="24"/>
        </w:rPr>
        <w:t>一、总则</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1.1本次采购采用公开</w:t>
      </w:r>
      <w:r>
        <w:rPr>
          <w:rFonts w:hint="eastAsia" w:ascii="宋体" w:hAnsi="宋体" w:cs="宋体"/>
          <w:sz w:val="24"/>
          <w:szCs w:val="24"/>
          <w:lang w:eastAsia="zh-CN"/>
        </w:rPr>
        <w:t>采购</w:t>
      </w:r>
      <w:r>
        <w:rPr>
          <w:rFonts w:hint="eastAsia" w:ascii="宋体" w:hAnsi="宋体" w:cs="宋体"/>
          <w:sz w:val="24"/>
          <w:szCs w:val="24"/>
        </w:rPr>
        <w:t>方式，本采购文件仅适用于采购公告中所述项目。</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（1）采购公告</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（2）投标人须知</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（3）合同条款及格式</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（4）项目需求</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（5）评标方法与评标标准</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（6）投标文件格式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请仔细检查采购文件是否齐全，如有缺漏请立即与采购</w:t>
      </w:r>
      <w:r>
        <w:rPr>
          <w:rFonts w:hint="eastAsia" w:ascii="宋体" w:hAnsi="宋体" w:cs="宋体"/>
          <w:sz w:val="24"/>
          <w:szCs w:val="24"/>
          <w:lang w:eastAsia="zh-CN"/>
        </w:rPr>
        <w:t>采购</w:t>
      </w:r>
      <w:r>
        <w:rPr>
          <w:rFonts w:hint="eastAsia" w:ascii="宋体" w:hAnsi="宋体" w:cs="宋体"/>
          <w:sz w:val="24"/>
          <w:szCs w:val="24"/>
        </w:rPr>
        <w:t>管理办公室联系解决。</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lang w:eastAsia="zh-CN"/>
        </w:rPr>
        <w:t>贰</w:t>
      </w:r>
      <w:r>
        <w:rPr>
          <w:rFonts w:hint="eastAsia" w:ascii="宋体" w:hAnsi="宋体" w:cs="宋体"/>
          <w:sz w:val="24"/>
          <w:szCs w:val="24"/>
          <w:u w:val="single"/>
        </w:rPr>
        <w:t>仟元（</w:t>
      </w:r>
      <w:r>
        <w:rPr>
          <w:rFonts w:hint="eastAsia" w:ascii="宋体" w:hAnsi="宋体" w:cs="宋体"/>
          <w:sz w:val="24"/>
          <w:szCs w:val="24"/>
          <w:u w:val="single"/>
          <w:lang w:val="en-US" w:eastAsia="zh-CN"/>
        </w:rPr>
        <w:t>2</w:t>
      </w:r>
      <w:r>
        <w:rPr>
          <w:rFonts w:hint="eastAsia" w:ascii="宋体" w:hAnsi="宋体" w:cs="宋体"/>
          <w:sz w:val="24"/>
          <w:szCs w:val="24"/>
          <w:u w:val="single"/>
        </w:rPr>
        <w:t>000元）</w:t>
      </w:r>
      <w:r>
        <w:rPr>
          <w:rFonts w:hint="eastAsia" w:ascii="宋体" w:hAnsi="宋体" w:cs="宋体"/>
          <w:sz w:val="24"/>
          <w:szCs w:val="24"/>
        </w:rPr>
        <w:t>投标保证金，作为其投标的组成部分之一。</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12.2投标保证金是为了保护</w:t>
      </w:r>
      <w:r>
        <w:rPr>
          <w:rFonts w:hint="eastAsia" w:ascii="宋体" w:hAnsi="宋体" w:cs="宋体"/>
          <w:sz w:val="24"/>
          <w:szCs w:val="24"/>
          <w:lang w:eastAsia="zh-CN"/>
        </w:rPr>
        <w:t>采购</w:t>
      </w:r>
      <w:r>
        <w:rPr>
          <w:rFonts w:hint="eastAsia" w:ascii="宋体" w:hAnsi="宋体" w:cs="宋体"/>
          <w:sz w:val="24"/>
          <w:szCs w:val="24"/>
        </w:rPr>
        <w:t>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投标有效期为</w:t>
      </w:r>
      <w:r>
        <w:rPr>
          <w:rFonts w:hint="eastAsia" w:ascii="宋体" w:hAnsi="宋体" w:cs="宋体"/>
          <w:sz w:val="24"/>
          <w:szCs w:val="24"/>
          <w:lang w:eastAsia="zh-CN"/>
        </w:rPr>
        <w:t>采购</w:t>
      </w:r>
      <w:r>
        <w:rPr>
          <w:rFonts w:hint="eastAsia" w:ascii="宋体" w:hAnsi="宋体" w:cs="宋体"/>
          <w:sz w:val="24"/>
          <w:szCs w:val="24"/>
        </w:rPr>
        <w:t>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hint="eastAsia"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w:t>
      </w:r>
      <w:r>
        <w:rPr>
          <w:rFonts w:hint="eastAsia" w:ascii="宋体" w:hAnsi="宋体" w:cs="宋体"/>
          <w:sz w:val="24"/>
          <w:szCs w:val="24"/>
          <w:lang w:eastAsia="zh-CN"/>
        </w:rPr>
        <w:t>采购</w:t>
      </w:r>
      <w:r>
        <w:rPr>
          <w:rFonts w:hint="eastAsia" w:ascii="宋体" w:hAnsi="宋体" w:cs="宋体"/>
          <w:sz w:val="24"/>
          <w:szCs w:val="24"/>
        </w:rPr>
        <w:t>管理办公室。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hint="eastAsia"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hint="eastAsia"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hint="eastAsia"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（3）投标人在报价时采用选择性报价；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hint="eastAsia"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w:t>
      </w:r>
      <w:r>
        <w:rPr>
          <w:rFonts w:hint="eastAsia" w:ascii="宋体" w:hAnsi="宋体" w:cs="宋体"/>
          <w:bCs/>
          <w:sz w:val="24"/>
          <w:szCs w:val="24"/>
          <w:lang w:eastAsia="zh-CN"/>
        </w:rPr>
        <w:t>采购</w:t>
      </w:r>
      <w:r>
        <w:rPr>
          <w:rFonts w:hint="eastAsia" w:ascii="宋体" w:hAnsi="宋体" w:cs="宋体"/>
          <w:bCs/>
          <w:sz w:val="24"/>
          <w:szCs w:val="24"/>
        </w:rPr>
        <w:t>任务取消情形外，采购项目首次</w:t>
      </w:r>
      <w:r>
        <w:rPr>
          <w:rFonts w:hint="eastAsia" w:ascii="宋体" w:hAnsi="宋体" w:cs="宋体"/>
          <w:bCs/>
          <w:sz w:val="24"/>
          <w:szCs w:val="24"/>
          <w:lang w:eastAsia="zh-CN"/>
        </w:rPr>
        <w:t>采购</w:t>
      </w:r>
      <w:r>
        <w:rPr>
          <w:rFonts w:hint="eastAsia" w:ascii="宋体" w:hAnsi="宋体" w:cs="宋体"/>
          <w:bCs/>
          <w:sz w:val="24"/>
          <w:szCs w:val="24"/>
        </w:rPr>
        <w:t>废标后，采购</w:t>
      </w:r>
      <w:r>
        <w:rPr>
          <w:rFonts w:hint="eastAsia" w:ascii="宋体" w:hAnsi="宋体" w:cs="宋体"/>
          <w:bCs/>
          <w:sz w:val="24"/>
          <w:szCs w:val="24"/>
          <w:lang w:eastAsia="zh-CN"/>
        </w:rPr>
        <w:t>采购</w:t>
      </w:r>
      <w:r>
        <w:rPr>
          <w:rFonts w:hint="eastAsia" w:ascii="宋体" w:hAnsi="宋体" w:cs="宋体"/>
          <w:bCs/>
          <w:sz w:val="24"/>
          <w:szCs w:val="24"/>
        </w:rPr>
        <w:t>管理办公室应重新</w:t>
      </w:r>
      <w:r>
        <w:rPr>
          <w:rFonts w:hint="eastAsia" w:ascii="宋体" w:hAnsi="宋体" w:cs="宋体"/>
          <w:bCs/>
          <w:sz w:val="24"/>
          <w:szCs w:val="24"/>
          <w:lang w:eastAsia="zh-CN"/>
        </w:rPr>
        <w:t>采购</w:t>
      </w:r>
      <w:r>
        <w:rPr>
          <w:rFonts w:hint="eastAsia" w:ascii="宋体" w:hAnsi="宋体" w:cs="宋体"/>
          <w:bCs/>
          <w:sz w:val="24"/>
          <w:szCs w:val="24"/>
        </w:rPr>
        <w:t>。重新</w:t>
      </w:r>
      <w:r>
        <w:rPr>
          <w:rFonts w:hint="eastAsia" w:ascii="宋体" w:hAnsi="宋体" w:cs="宋体"/>
          <w:bCs/>
          <w:sz w:val="24"/>
          <w:szCs w:val="24"/>
          <w:lang w:eastAsia="zh-CN"/>
        </w:rPr>
        <w:t>采购</w:t>
      </w:r>
      <w:r>
        <w:rPr>
          <w:rFonts w:hint="eastAsia" w:ascii="宋体" w:hAnsi="宋体" w:cs="宋体"/>
          <w:bCs/>
          <w:sz w:val="24"/>
          <w:szCs w:val="24"/>
        </w:rPr>
        <w:t>未能成立的，由采购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bCs/>
          <w:sz w:val="24"/>
          <w:szCs w:val="24"/>
          <w:lang w:eastAsia="zh-CN"/>
        </w:rPr>
        <w:t>采购</w:t>
      </w:r>
      <w:r>
        <w:rPr>
          <w:rFonts w:hint="eastAsia" w:ascii="宋体" w:hAnsi="宋体" w:cs="宋体"/>
          <w:bCs/>
          <w:sz w:val="24"/>
          <w:szCs w:val="24"/>
        </w:rPr>
        <w:t>监督小组与项目承办单位会商决定采取其他方式采购。</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w:t>
      </w:r>
      <w:r>
        <w:rPr>
          <w:rFonts w:hint="eastAsia" w:ascii="宋体" w:hAnsi="宋体" w:cs="宋体"/>
          <w:sz w:val="24"/>
          <w:szCs w:val="24"/>
          <w:lang w:eastAsia="zh-CN"/>
        </w:rPr>
        <w:t>采购</w:t>
      </w:r>
      <w:r>
        <w:rPr>
          <w:rFonts w:hint="eastAsia" w:ascii="宋体" w:hAnsi="宋体" w:cs="宋体"/>
          <w:sz w:val="24"/>
          <w:szCs w:val="24"/>
        </w:rPr>
        <w:t>小组推荐中标候选人。最终由</w:t>
      </w:r>
      <w:r>
        <w:rPr>
          <w:rFonts w:hint="eastAsia" w:ascii="宋体" w:hAnsi="宋体" w:cs="宋体"/>
          <w:sz w:val="24"/>
          <w:szCs w:val="24"/>
          <w:lang w:eastAsia="zh-CN"/>
        </w:rPr>
        <w:t>采购</w:t>
      </w:r>
      <w:r>
        <w:rPr>
          <w:rFonts w:hint="eastAsia" w:ascii="宋体" w:hAnsi="宋体" w:cs="宋体"/>
          <w:sz w:val="24"/>
          <w:szCs w:val="24"/>
        </w:rPr>
        <w:t>小组根据推荐的中标候选人确定中标人。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hd w:val="clear" w:fill="FFFF00"/>
        <w:spacing w:line="360" w:lineRule="exact"/>
        <w:ind w:firstLine="480" w:firstLineChars="200"/>
        <w:rPr>
          <w:rFonts w:hint="eastAsia"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sz w:val="24"/>
          <w:szCs w:val="24"/>
        </w:rPr>
        <w:t>工作人员恶意串通的；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（3）向评审专家、采购人或采购</w:t>
      </w:r>
      <w:r>
        <w:rPr>
          <w:rFonts w:hint="eastAsia" w:ascii="宋体" w:hAnsi="宋体" w:cs="宋体"/>
          <w:sz w:val="24"/>
          <w:szCs w:val="24"/>
          <w:lang w:eastAsia="zh-CN"/>
        </w:rPr>
        <w:t>采购</w:t>
      </w:r>
      <w:r>
        <w:rPr>
          <w:rFonts w:hint="eastAsia" w:ascii="宋体" w:hAnsi="宋体" w:cs="宋体"/>
          <w:sz w:val="24"/>
          <w:szCs w:val="24"/>
        </w:rPr>
        <w:t>管理办公室工作人员行贿或者提供其它不正当利益的；</w:t>
      </w:r>
    </w:p>
    <w:p>
      <w:pPr>
        <w:snapToGrid w:val="0"/>
        <w:spacing w:line="360" w:lineRule="exact"/>
        <w:ind w:left="480"/>
        <w:rPr>
          <w:rFonts w:hint="eastAsia"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hint="eastAsia" w:ascii="宋体" w:hAnsi="宋体" w:cs="宋体"/>
          <w:sz w:val="24"/>
          <w:szCs w:val="24"/>
        </w:rPr>
      </w:pPr>
      <w:r>
        <w:rPr>
          <w:rFonts w:hint="eastAsia" w:ascii="宋体" w:hAnsi="宋体" w:cs="宋体"/>
          <w:bCs/>
          <w:sz w:val="24"/>
          <w:szCs w:val="24"/>
        </w:rPr>
        <w:t>在此情况下一经认定，报经项目</w:t>
      </w:r>
      <w:r>
        <w:rPr>
          <w:rFonts w:hint="eastAsia" w:ascii="宋体" w:hAnsi="宋体" w:cs="宋体"/>
          <w:bCs/>
          <w:sz w:val="24"/>
          <w:szCs w:val="24"/>
          <w:lang w:eastAsia="zh-CN"/>
        </w:rPr>
        <w:t>采购</w:t>
      </w:r>
      <w:r>
        <w:rPr>
          <w:rFonts w:hint="eastAsia" w:ascii="宋体" w:hAnsi="宋体" w:cs="宋体"/>
          <w:bCs/>
          <w:sz w:val="24"/>
          <w:szCs w:val="24"/>
        </w:rPr>
        <w:t>监督小组批准，采购</w:t>
      </w:r>
      <w:r>
        <w:rPr>
          <w:rFonts w:hint="eastAsia" w:ascii="宋体" w:hAnsi="宋体" w:cs="宋体"/>
          <w:bCs/>
          <w:sz w:val="24"/>
          <w:szCs w:val="24"/>
          <w:lang w:eastAsia="zh-CN"/>
        </w:rPr>
        <w:t>采购</w:t>
      </w:r>
      <w:r>
        <w:rPr>
          <w:rFonts w:hint="eastAsia" w:ascii="宋体" w:hAnsi="宋体" w:cs="宋体"/>
          <w:bCs/>
          <w:sz w:val="24"/>
          <w:szCs w:val="24"/>
        </w:rPr>
        <w:t>管理办公室有权重新组织采购</w:t>
      </w:r>
      <w:r>
        <w:rPr>
          <w:rFonts w:hint="eastAsia" w:ascii="宋体" w:hAnsi="宋体" w:cs="宋体"/>
          <w:sz w:val="24"/>
          <w:szCs w:val="24"/>
        </w:rPr>
        <w:t>。</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hint="eastAsia"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jc w:val="center"/>
        <w:rPr>
          <w:rFonts w:hint="eastAsia" w:ascii="宋体" w:hAnsi="宋体" w:cs="宋体"/>
          <w:bCs/>
          <w:sz w:val="44"/>
        </w:rPr>
      </w:pPr>
      <w:r>
        <w:rPr>
          <w:rFonts w:hint="eastAsia" w:ascii="宋体" w:hAnsi="宋体" w:cs="宋体"/>
          <w:sz w:val="24"/>
          <w:szCs w:val="24"/>
        </w:rPr>
        <w:br w:type="page"/>
      </w:r>
      <w:bookmarkEnd w:id="12"/>
      <w:bookmarkEnd w:id="13"/>
      <w:bookmarkEnd w:id="14"/>
      <w:bookmarkEnd w:id="15"/>
      <w:bookmarkStart w:id="16" w:name="_Toc16938558"/>
      <w:bookmarkStart w:id="17" w:name="_Toc479757207"/>
      <w:bookmarkStart w:id="18" w:name="_Toc20823314"/>
      <w:bookmarkStart w:id="19" w:name="_Toc513029242"/>
      <w:bookmarkStart w:id="20" w:name="_Toc120614221"/>
      <w:r>
        <w:rPr>
          <w:rFonts w:hint="eastAsia" w:ascii="宋体" w:hAnsi="宋体" w:cs="宋体"/>
          <w:bCs/>
          <w:sz w:val="44"/>
        </w:rPr>
        <w:t>第三章  合同条款及</w:t>
      </w:r>
      <w:bookmarkEnd w:id="16"/>
      <w:bookmarkEnd w:id="17"/>
      <w:bookmarkEnd w:id="18"/>
      <w:bookmarkEnd w:id="19"/>
      <w:bookmarkEnd w:id="20"/>
      <w:r>
        <w:rPr>
          <w:rFonts w:hint="eastAsia" w:ascii="宋体" w:hAnsi="宋体" w:cs="宋体"/>
          <w:bCs/>
          <w:sz w:val="44"/>
        </w:rPr>
        <w:t>格式</w:t>
      </w:r>
    </w:p>
    <w:p>
      <w:pPr>
        <w:spacing w:line="360" w:lineRule="exact"/>
        <w:ind w:firstLine="480" w:firstLineChars="200"/>
        <w:contextualSpacing/>
        <w:rPr>
          <w:rFonts w:hint="eastAsia" w:ascii="宋体" w:hAnsi="宋体" w:cs="宋体"/>
          <w:bCs/>
          <w:sz w:val="24"/>
        </w:rPr>
      </w:pPr>
      <w:bookmarkStart w:id="21" w:name="_Toc513029243"/>
      <w:bookmarkStart w:id="22" w:name="_Toc16938559"/>
      <w:bookmarkStart w:id="23" w:name="_Toc20823315"/>
      <w:r>
        <w:rPr>
          <w:rFonts w:hint="eastAsia" w:ascii="宋体" w:hAnsi="宋体" w:cs="宋体"/>
          <w:bCs/>
          <w:sz w:val="24"/>
        </w:rPr>
        <w:t>以下为中标后签定本项目合同的通用条款，中标人不得提出实质性的修改，关于专用条款将由项目使用单位与中标人结合本项目具体情况协商后签订。</w:t>
      </w:r>
    </w:p>
    <w:p>
      <w:pPr>
        <w:widowControl/>
        <w:snapToGrid w:val="0"/>
        <w:spacing w:before="19"/>
        <w:ind w:left="-358" w:leftChars="-255" w:right="-334" w:rightChars="-159" w:hanging="177" w:hangingChars="49"/>
        <w:jc w:val="center"/>
        <w:rPr>
          <w:rFonts w:hint="eastAsia" w:ascii="宋体" w:hAnsi="宋体" w:cs="宋体"/>
          <w:b/>
          <w:sz w:val="36"/>
        </w:rPr>
      </w:pPr>
      <w:r>
        <w:rPr>
          <w:rFonts w:hint="eastAsia" w:ascii="宋体" w:hAnsi="宋体" w:cs="宋体"/>
          <w:b/>
          <w:sz w:val="36"/>
        </w:rPr>
        <w:t>南京邮电大学通达学院采购合同</w:t>
      </w:r>
    </w:p>
    <w:p>
      <w:pPr>
        <w:spacing w:line="360" w:lineRule="exact"/>
        <w:rPr>
          <w:rFonts w:hint="eastAsia" w:ascii="宋体" w:hAnsi="宋体" w:cs="宋体"/>
          <w:sz w:val="24"/>
        </w:rPr>
      </w:pPr>
      <w:r>
        <w:rPr>
          <w:rFonts w:hint="eastAsia" w:ascii="宋体" w:hAnsi="宋体" w:cs="宋体"/>
          <w:sz w:val="24"/>
        </w:rPr>
        <w:t xml:space="preserve">甲方：南京邮电大学通达学院               签订地点：南京邮电大学通达学院 </w:t>
      </w:r>
    </w:p>
    <w:p>
      <w:pPr>
        <w:widowControl/>
        <w:snapToGrid w:val="0"/>
        <w:spacing w:line="360" w:lineRule="exact"/>
        <w:rPr>
          <w:rFonts w:hint="eastAsia" w:ascii="宋体" w:hAnsi="宋体" w:cs="宋体"/>
          <w:sz w:val="24"/>
        </w:rPr>
      </w:pPr>
      <w:r>
        <w:rPr>
          <w:rFonts w:hint="eastAsia" w:ascii="宋体" w:hAnsi="宋体" w:cs="宋体"/>
          <w:sz w:val="24"/>
        </w:rPr>
        <w:t xml:space="preserve">乙方：                                   </w:t>
      </w:r>
    </w:p>
    <w:p>
      <w:pPr>
        <w:widowControl/>
        <w:snapToGrid w:val="0"/>
        <w:spacing w:line="360" w:lineRule="exact"/>
        <w:ind w:firstLine="480"/>
        <w:rPr>
          <w:rFonts w:hint="eastAsia" w:ascii="宋体" w:hAnsi="宋体" w:cs="宋体"/>
          <w:sz w:val="24"/>
        </w:rPr>
      </w:pPr>
      <w:r>
        <w:rPr>
          <w:rFonts w:hint="eastAsia" w:ascii="宋体" w:hAnsi="宋体" w:cs="宋体"/>
          <w:sz w:val="24"/>
        </w:rPr>
        <w:t>甲乙双方根据</w:t>
      </w:r>
      <w:r>
        <w:rPr>
          <w:rFonts w:hint="eastAsia" w:ascii="宋体" w:hAnsi="宋体" w:cs="宋体"/>
          <w:sz w:val="24"/>
          <w:u w:val="single"/>
        </w:rPr>
        <w:t xml:space="preserve">                  </w:t>
      </w:r>
      <w:r>
        <w:rPr>
          <w:rFonts w:hint="eastAsia" w:ascii="宋体" w:hAnsi="宋体" w:cs="宋体"/>
          <w:sz w:val="24"/>
        </w:rPr>
        <w:t>项目</w:t>
      </w:r>
      <w:r>
        <w:rPr>
          <w:rFonts w:hint="eastAsia" w:ascii="宋体" w:hAnsi="宋体" w:cs="宋体"/>
          <w:sz w:val="24"/>
          <w:lang w:eastAsia="zh-CN"/>
        </w:rPr>
        <w:t>采购</w:t>
      </w:r>
      <w:r>
        <w:rPr>
          <w:rFonts w:hint="eastAsia" w:ascii="宋体" w:hAnsi="宋体" w:cs="宋体"/>
          <w:sz w:val="24"/>
        </w:rPr>
        <w:t>（谈判、询价）采购结果,依据《中华人民共和国合同法》及相关法律规定，达成如下货物购销合同:</w:t>
      </w:r>
    </w:p>
    <w:p>
      <w:pPr>
        <w:widowControl/>
        <w:snapToGrid w:val="0"/>
        <w:spacing w:line="360" w:lineRule="exact"/>
        <w:rPr>
          <w:rFonts w:hint="eastAsia" w:ascii="宋体" w:hAnsi="宋体" w:cs="宋体"/>
          <w:sz w:val="24"/>
        </w:rPr>
      </w:pPr>
      <w:r>
        <w:rPr>
          <w:rFonts w:hint="eastAsia" w:ascii="宋体" w:hAnsi="宋体" w:cs="宋体"/>
          <w:sz w:val="24"/>
        </w:rPr>
        <w:t>一、货物及其数量、金额：</w:t>
      </w:r>
    </w:p>
    <w:tbl>
      <w:tblPr>
        <w:tblStyle w:val="12"/>
        <w:tblW w:w="0" w:type="auto"/>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编号</w:t>
            </w:r>
          </w:p>
        </w:tc>
        <w:tc>
          <w:tcPr>
            <w:tcW w:w="126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货物名称</w:t>
            </w:r>
          </w:p>
        </w:tc>
        <w:tc>
          <w:tcPr>
            <w:tcW w:w="3933"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规 格 型 号（品牌）</w:t>
            </w:r>
          </w:p>
        </w:tc>
        <w:tc>
          <w:tcPr>
            <w:tcW w:w="992"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数量</w:t>
            </w:r>
          </w:p>
        </w:tc>
        <w:tc>
          <w:tcPr>
            <w:tcW w:w="1276"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单价（元）</w:t>
            </w:r>
          </w:p>
        </w:tc>
        <w:tc>
          <w:tcPr>
            <w:tcW w:w="1275" w:type="dxa"/>
            <w:shd w:val="pct10" w:color="auto" w:fill="FFFFFF"/>
            <w:noWrap w:val="0"/>
            <w:vAlign w:val="center"/>
          </w:tcPr>
          <w:p>
            <w:pPr>
              <w:widowControl/>
              <w:jc w:val="left"/>
              <w:rPr>
                <w:rFonts w:hint="eastAsia"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1</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pacing w:line="240" w:lineRule="atLeast"/>
              <w:jc w:val="center"/>
              <w:rPr>
                <w:rFonts w:hint="eastAsia" w:ascii="宋体" w:hAnsi="宋体" w:cs="宋体"/>
                <w:b/>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2</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3</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PrEx>
        <w:trPr>
          <w:cantSplit/>
          <w:trHeight w:val="495" w:hRule="atLeast"/>
          <w:jc w:val="center"/>
        </w:trPr>
        <w:tc>
          <w:tcPr>
            <w:tcW w:w="9456" w:type="dxa"/>
            <w:gridSpan w:val="6"/>
            <w:noWrap w:val="0"/>
            <w:vAlign w:val="center"/>
          </w:tcPr>
          <w:p>
            <w:pPr>
              <w:rPr>
                <w:rFonts w:hint="eastAsia"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rPr>
                <w:rFonts w:hint="eastAsia"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widowControl/>
        <w:snapToGrid w:val="0"/>
        <w:spacing w:line="360" w:lineRule="exact"/>
        <w:rPr>
          <w:rFonts w:hint="eastAsia" w:ascii="宋体" w:hAnsi="宋体" w:cs="宋体"/>
          <w:sz w:val="24"/>
          <w:szCs w:val="24"/>
        </w:rPr>
      </w:pPr>
      <w:r>
        <w:rPr>
          <w:rFonts w:hint="eastAsia" w:ascii="宋体" w:hAnsi="宋体" w:cs="宋体"/>
          <w:sz w:val="24"/>
          <w:szCs w:val="24"/>
        </w:rPr>
        <w:t>二、交货时间：在规定时间按照甲方要求安装完成摆放到位。</w:t>
      </w:r>
    </w:p>
    <w:p>
      <w:pPr>
        <w:widowControl/>
        <w:snapToGrid w:val="0"/>
        <w:spacing w:line="360" w:lineRule="exact"/>
        <w:rPr>
          <w:rFonts w:hint="eastAsia"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60" w:lineRule="exact"/>
        <w:rPr>
          <w:rFonts w:hint="eastAsia"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95%；质保期满后无质量问题，余款无息结清。甲方付款前乙方需提供合法、有效、等额的增值税专用发票，并在发票备注栏注明“教学用”字样，否则，甲方有权拒付相应款项。</w:t>
      </w:r>
    </w:p>
    <w:p>
      <w:pPr>
        <w:widowControl/>
        <w:snapToGrid w:val="0"/>
        <w:spacing w:line="360" w:lineRule="exact"/>
        <w:rPr>
          <w:rFonts w:hint="eastAsia"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60" w:lineRule="exact"/>
        <w:rPr>
          <w:rFonts w:hint="eastAsia" w:ascii="宋体" w:hAnsi="宋体" w:cs="宋体"/>
          <w:sz w:val="24"/>
        </w:rPr>
      </w:pPr>
      <w:r>
        <w:rPr>
          <w:rFonts w:hint="eastAsia" w:ascii="宋体" w:hAnsi="宋体" w:cs="宋体"/>
          <w:sz w:val="24"/>
        </w:rPr>
        <w:t>六、质量要求、技术标准、乙方对质量负责的条件和期限：</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w:t>
      </w:r>
      <w:r>
        <w:rPr>
          <w:rFonts w:hint="eastAsia" w:ascii="宋体" w:hAnsi="宋体" w:cs="宋体"/>
          <w:sz w:val="24"/>
          <w:lang w:eastAsia="zh-CN"/>
        </w:rPr>
        <w:t>采购</w:t>
      </w:r>
      <w:r>
        <w:rPr>
          <w:rFonts w:hint="eastAsia" w:ascii="宋体" w:hAnsi="宋体" w:cs="宋体"/>
          <w:sz w:val="24"/>
        </w:rPr>
        <w:t>书要求、投标文件确定承诺。货物验收后，在质量保证期内，乙方应对由于设计、工艺或材料的缺陷所发生的任何不足或故障负责，所需费用由乙方承担。</w:t>
      </w:r>
    </w:p>
    <w:p>
      <w:pPr>
        <w:widowControl/>
        <w:snapToGrid w:val="0"/>
        <w:spacing w:line="360" w:lineRule="exact"/>
        <w:rPr>
          <w:rFonts w:hint="eastAsia"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60" w:lineRule="exact"/>
        <w:rPr>
          <w:rFonts w:hint="eastAsia"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60" w:lineRule="exact"/>
        <w:rPr>
          <w:rFonts w:hint="eastAsia"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60" w:lineRule="exact"/>
        <w:rPr>
          <w:rFonts w:hint="eastAsia" w:ascii="宋体" w:hAnsi="宋体" w:cs="宋体"/>
          <w:sz w:val="24"/>
        </w:rPr>
      </w:pPr>
      <w:r>
        <w:rPr>
          <w:rFonts w:hint="eastAsia" w:ascii="宋体" w:hAnsi="宋体" w:cs="宋体"/>
          <w:sz w:val="24"/>
        </w:rPr>
        <w:t>十、违约责任</w:t>
      </w:r>
    </w:p>
    <w:p>
      <w:pPr>
        <w:widowControl/>
        <w:snapToGrid w:val="0"/>
        <w:spacing w:line="360" w:lineRule="exact"/>
        <w:rPr>
          <w:rFonts w:hint="eastAsia"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spacing w:line="360" w:lineRule="exact"/>
        <w:rPr>
          <w:rFonts w:hint="eastAsia" w:ascii="宋体" w:hAnsi="宋体" w:cs="宋体"/>
          <w:sz w:val="24"/>
        </w:rPr>
      </w:pPr>
      <w:r>
        <w:rPr>
          <w:rFonts w:hint="eastAsia" w:ascii="宋体" w:hAnsi="宋体" w:cs="宋体"/>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exact"/>
        <w:rPr>
          <w:rFonts w:hint="eastAsia" w:ascii="宋体" w:hAnsi="宋体" w:cs="宋体"/>
          <w:sz w:val="24"/>
        </w:rPr>
      </w:pPr>
      <w:r>
        <w:rPr>
          <w:rFonts w:hint="eastAsia" w:ascii="宋体" w:hAnsi="宋体" w:cs="宋体"/>
          <w:sz w:val="24"/>
        </w:rPr>
        <w:t>3、乙方所交的货物品种、型号、规格、技术参数、质量不符合合同规定及</w:t>
      </w:r>
      <w:r>
        <w:rPr>
          <w:rFonts w:hint="eastAsia" w:ascii="宋体" w:hAnsi="宋体" w:cs="宋体"/>
          <w:sz w:val="24"/>
          <w:lang w:eastAsia="zh-CN"/>
        </w:rPr>
        <w:t>采购文件</w:t>
      </w:r>
      <w:r>
        <w:rPr>
          <w:rFonts w:hint="eastAsia" w:ascii="宋体" w:hAnsi="宋体" w:cs="宋体"/>
          <w:sz w:val="24"/>
        </w:rPr>
        <w:t>规定标准的，甲方有权拒收该货物，乙方愿意更换货物但逾期交货的，按乙方逾期交货处理。乙方拒绝更换货物的，甲方可单方面解除合同。</w:t>
      </w:r>
    </w:p>
    <w:p>
      <w:pPr>
        <w:widowControl/>
        <w:snapToGrid w:val="0"/>
        <w:spacing w:line="360" w:lineRule="exact"/>
        <w:rPr>
          <w:rFonts w:hint="eastAsia"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60" w:lineRule="exact"/>
        <w:rPr>
          <w:rFonts w:hint="eastAsia" w:ascii="宋体" w:hAnsi="宋体" w:cs="宋体"/>
          <w:sz w:val="24"/>
        </w:rPr>
      </w:pPr>
      <w:r>
        <w:rPr>
          <w:rFonts w:hint="eastAsia" w:ascii="宋体" w:hAnsi="宋体" w:cs="宋体"/>
          <w:sz w:val="24"/>
        </w:rPr>
        <w:t>十一、 合同的变更和终止</w:t>
      </w:r>
    </w:p>
    <w:p>
      <w:pPr>
        <w:widowControl/>
        <w:snapToGrid w:val="0"/>
        <w:spacing w:line="360" w:lineRule="exact"/>
        <w:rPr>
          <w:rFonts w:hint="eastAsia"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60" w:lineRule="exact"/>
        <w:rPr>
          <w:rFonts w:hint="eastAsia" w:ascii="宋体" w:hAnsi="宋体" w:cs="宋体"/>
          <w:sz w:val="24"/>
        </w:rPr>
      </w:pPr>
      <w:r>
        <w:rPr>
          <w:rFonts w:hint="eastAsia" w:ascii="宋体" w:hAnsi="宋体" w:cs="宋体"/>
          <w:sz w:val="24"/>
        </w:rPr>
        <w:t>十二、合同的转让</w:t>
      </w:r>
    </w:p>
    <w:p>
      <w:pPr>
        <w:widowControl/>
        <w:snapToGrid w:val="0"/>
        <w:spacing w:line="360" w:lineRule="exact"/>
        <w:rPr>
          <w:rFonts w:hint="eastAsia" w:ascii="宋体" w:hAnsi="宋体" w:cs="宋体"/>
          <w:sz w:val="24"/>
        </w:rPr>
      </w:pPr>
      <w:r>
        <w:rPr>
          <w:rFonts w:hint="eastAsia" w:ascii="宋体" w:hAnsi="宋体" w:cs="宋体"/>
          <w:sz w:val="24"/>
        </w:rPr>
        <w:t>乙方不得擅自部分或全部转让其应履行的合同义务。</w:t>
      </w:r>
    </w:p>
    <w:p>
      <w:pPr>
        <w:widowControl/>
        <w:snapToGrid w:val="0"/>
        <w:spacing w:line="360" w:lineRule="exact"/>
        <w:rPr>
          <w:rFonts w:hint="eastAsia" w:ascii="宋体" w:hAnsi="宋体" w:cs="宋体"/>
          <w:sz w:val="24"/>
        </w:rPr>
      </w:pPr>
      <w:r>
        <w:rPr>
          <w:rFonts w:hint="eastAsia" w:ascii="宋体" w:hAnsi="宋体" w:cs="宋体"/>
          <w:sz w:val="24"/>
        </w:rPr>
        <w:t>十三、 争议的解决</w:t>
      </w:r>
    </w:p>
    <w:p>
      <w:pPr>
        <w:widowControl/>
        <w:snapToGrid w:val="0"/>
        <w:spacing w:line="360" w:lineRule="exact"/>
        <w:rPr>
          <w:rFonts w:hint="eastAsia"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60" w:lineRule="exact"/>
        <w:rPr>
          <w:rFonts w:hint="eastAsia"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60" w:lineRule="exact"/>
        <w:rPr>
          <w:rFonts w:hint="eastAsia"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1"/>
    <w:bookmarkEnd w:id="22"/>
    <w:bookmarkEnd w:id="23"/>
    <w:p>
      <w:pPr>
        <w:widowControl/>
        <w:snapToGrid w:val="0"/>
        <w:spacing w:line="280" w:lineRule="exact"/>
        <w:rPr>
          <w:rFonts w:hint="eastAsia" w:ascii="宋体" w:hAnsi="宋体" w:cs="宋体"/>
        </w:rPr>
      </w:pPr>
      <w:bookmarkStart w:id="24" w:name="_Hlt16619369"/>
      <w:bookmarkEnd w:id="24"/>
      <w:bookmarkStart w:id="25" w:name="_Toc16938590"/>
      <w:bookmarkStart w:id="26" w:name="_Toc20823346"/>
      <w:bookmarkStart w:id="27" w:name="_Toc120614244"/>
      <w:bookmarkStart w:id="28" w:name="_Hlt16619350"/>
      <w:bookmarkStart w:id="29" w:name="_Toc479757211"/>
      <w:bookmarkStart w:id="30" w:name="_Toc462564139"/>
      <w:r>
        <w:rPr>
          <w:rFonts w:hint="eastAsia" w:ascii="宋体" w:hAnsi="宋体" w:cs="宋体"/>
        </w:rPr>
        <w:t>甲方                                               乙方</w:t>
      </w:r>
    </w:p>
    <w:p>
      <w:pPr>
        <w:widowControl/>
        <w:snapToGrid w:val="0"/>
        <w:spacing w:line="280" w:lineRule="exact"/>
        <w:rPr>
          <w:rFonts w:hint="eastAsia" w:ascii="宋体" w:hAnsi="宋体" w:cs="宋体"/>
        </w:rPr>
      </w:pPr>
      <w:r>
        <w:rPr>
          <w:rFonts w:hint="eastAsia" w:ascii="宋体" w:hAnsi="宋体" w:cs="宋体"/>
        </w:rPr>
        <w:t>单位名称：南京邮电大学通达学院                     单位名称：</w:t>
      </w:r>
    </w:p>
    <w:p>
      <w:pPr>
        <w:widowControl/>
        <w:snapToGrid w:val="0"/>
        <w:spacing w:line="280" w:lineRule="exact"/>
        <w:rPr>
          <w:rFonts w:hint="eastAsia" w:ascii="宋体" w:hAnsi="宋体" w:cs="宋体"/>
        </w:rPr>
      </w:pPr>
      <w:r>
        <w:rPr>
          <w:rFonts w:hint="eastAsia" w:ascii="宋体" w:hAnsi="宋体" w:cs="宋体"/>
        </w:rPr>
        <w:t>单位地址：扬州市润扬南路33号                      单位地址：</w:t>
      </w:r>
    </w:p>
    <w:p>
      <w:pPr>
        <w:widowControl/>
        <w:snapToGrid w:val="0"/>
        <w:spacing w:line="280" w:lineRule="exact"/>
        <w:rPr>
          <w:rFonts w:hint="eastAsia" w:ascii="宋体" w:hAnsi="宋体" w:cs="宋体"/>
        </w:rPr>
      </w:pPr>
      <w:r>
        <w:rPr>
          <w:rFonts w:hint="eastAsia" w:ascii="宋体" w:hAnsi="宋体" w:cs="宋体"/>
        </w:rPr>
        <w:t>法定代表人：                                       法定代表人：</w:t>
      </w:r>
    </w:p>
    <w:p>
      <w:pPr>
        <w:widowControl/>
        <w:snapToGrid w:val="0"/>
        <w:spacing w:line="280" w:lineRule="exact"/>
        <w:rPr>
          <w:rFonts w:hint="eastAsia" w:ascii="宋体" w:hAnsi="宋体" w:cs="宋体"/>
        </w:rPr>
      </w:pPr>
      <w:r>
        <w:rPr>
          <w:rFonts w:hint="eastAsia" w:ascii="宋体" w:hAnsi="宋体" w:cs="宋体"/>
        </w:rPr>
        <w:t>委托代理人（签字）：                                委托代理人（签字）：</w:t>
      </w:r>
    </w:p>
    <w:p>
      <w:pPr>
        <w:widowControl/>
        <w:snapToGrid w:val="0"/>
        <w:spacing w:line="280" w:lineRule="exact"/>
        <w:rPr>
          <w:rFonts w:hint="eastAsia" w:ascii="宋体" w:hAnsi="宋体" w:cs="宋体"/>
        </w:rPr>
      </w:pPr>
      <w:r>
        <w:rPr>
          <w:rFonts w:hint="eastAsia" w:ascii="宋体" w:hAnsi="宋体" w:cs="宋体"/>
        </w:rPr>
        <w:t xml:space="preserve">联系电话：                                         联系电话：                                            </w:t>
      </w:r>
    </w:p>
    <w:p>
      <w:pPr>
        <w:widowControl/>
        <w:snapToGrid w:val="0"/>
        <w:spacing w:line="280" w:lineRule="exact"/>
        <w:rPr>
          <w:rFonts w:hint="eastAsia" w:ascii="宋体" w:hAnsi="宋体" w:cs="宋体"/>
        </w:rPr>
      </w:pPr>
      <w:r>
        <w:rPr>
          <w:rFonts w:hint="eastAsia" w:ascii="宋体" w:hAnsi="宋体" w:cs="宋体"/>
        </w:rPr>
        <w:t xml:space="preserve">开户银行：                                         开户银行： </w:t>
      </w:r>
    </w:p>
    <w:p>
      <w:pPr>
        <w:widowControl/>
        <w:snapToGrid w:val="0"/>
        <w:spacing w:line="280" w:lineRule="exact"/>
        <w:rPr>
          <w:rFonts w:hint="eastAsia" w:ascii="宋体" w:hAnsi="宋体" w:cs="宋体"/>
        </w:rPr>
      </w:pPr>
      <w:r>
        <w:rPr>
          <w:rFonts w:hint="eastAsia" w:ascii="宋体" w:hAnsi="宋体" w:cs="宋体"/>
        </w:rPr>
        <w:t xml:space="preserve">户名：                                             户名： </w:t>
      </w:r>
    </w:p>
    <w:p>
      <w:pPr>
        <w:widowControl/>
        <w:snapToGrid w:val="0"/>
        <w:spacing w:line="280" w:lineRule="exact"/>
        <w:rPr>
          <w:rFonts w:hint="eastAsia" w:ascii="宋体" w:hAnsi="宋体" w:cs="宋体"/>
        </w:rPr>
      </w:pPr>
      <w:r>
        <w:rPr>
          <w:rFonts w:hint="eastAsia" w:ascii="宋体" w:hAnsi="宋体" w:cs="宋体"/>
        </w:rPr>
        <w:t xml:space="preserve">账号：                                             账号： </w:t>
      </w:r>
    </w:p>
    <w:p>
      <w:pPr>
        <w:widowControl/>
        <w:snapToGrid w:val="0"/>
        <w:spacing w:line="280" w:lineRule="exact"/>
        <w:rPr>
          <w:rFonts w:hint="eastAsia" w:ascii="宋体" w:hAnsi="宋体" w:cs="宋体"/>
        </w:rPr>
      </w:pPr>
      <w:r>
        <w:rPr>
          <w:rFonts w:hint="eastAsia" w:ascii="宋体" w:hAnsi="宋体" w:cs="宋体"/>
        </w:rPr>
        <w:t xml:space="preserve">税号：                                             行号：  </w:t>
      </w:r>
    </w:p>
    <w:p>
      <w:pPr>
        <w:widowControl/>
        <w:snapToGrid w:val="0"/>
        <w:spacing w:line="280" w:lineRule="exact"/>
        <w:rPr>
          <w:rFonts w:hint="eastAsia" w:ascii="宋体" w:hAnsi="宋体" w:cs="宋体"/>
        </w:rPr>
      </w:pPr>
      <w:r>
        <w:rPr>
          <w:rFonts w:hint="eastAsia" w:ascii="宋体" w:hAnsi="宋体" w:cs="宋体"/>
        </w:rPr>
        <w:t>电话：0514-89716081                                项目联系人：</w:t>
      </w:r>
    </w:p>
    <w:p>
      <w:pPr>
        <w:widowControl/>
        <w:snapToGrid w:val="0"/>
        <w:spacing w:line="280" w:lineRule="exact"/>
        <w:rPr>
          <w:rFonts w:hint="eastAsia" w:ascii="宋体" w:hAnsi="宋体" w:cs="宋体"/>
        </w:rPr>
      </w:pPr>
      <w:r>
        <w:rPr>
          <w:rFonts w:hint="eastAsia" w:ascii="宋体" w:hAnsi="宋体" w:cs="宋体"/>
        </w:rPr>
        <w:t>签约日期（即合同生效日期）：    年   月    日       联系电话：</w:t>
      </w:r>
    </w:p>
    <w:p>
      <w:pPr>
        <w:jc w:val="center"/>
        <w:rPr>
          <w:rFonts w:hint="eastAsia"/>
          <w:b/>
          <w:sz w:val="36"/>
          <w:szCs w:val="36"/>
        </w:rPr>
      </w:pPr>
      <w:r>
        <w:rPr>
          <w:rFonts w:hint="eastAsia" w:ascii="宋体" w:hAnsi="宋体" w:cs="宋体"/>
          <w:bCs/>
          <w:sz w:val="44"/>
        </w:rPr>
        <w:br w:type="page"/>
      </w:r>
      <w:r>
        <w:rPr>
          <w:rFonts w:hint="eastAsia" w:ascii="宋体" w:hAnsi="宋体" w:cs="宋体"/>
          <w:bCs/>
          <w:sz w:val="44"/>
          <w:lang w:eastAsia="zh-CN"/>
        </w:rPr>
        <w:t>第四章校园一卡通运维审计系统项目技术要求</w:t>
      </w:r>
    </w:p>
    <w:p>
      <w:pPr>
        <w:spacing w:line="360" w:lineRule="auto"/>
        <w:rPr>
          <w:rFonts w:hint="eastAsia"/>
          <w:sz w:val="24"/>
        </w:rPr>
      </w:pPr>
      <w:bookmarkStart w:id="31" w:name="_Toc403722970"/>
      <w:bookmarkStart w:id="32" w:name="_Toc194758350"/>
      <w:bookmarkStart w:id="33" w:name="_Toc194757239"/>
    </w:p>
    <w:p>
      <w:pPr>
        <w:pStyle w:val="4"/>
        <w:numPr>
          <w:ilvl w:val="0"/>
          <w:numId w:val="3"/>
        </w:numPr>
        <w:spacing w:before="0" w:after="0" w:line="360" w:lineRule="auto"/>
        <w:rPr>
          <w:rFonts w:hint="eastAsia"/>
          <w:sz w:val="24"/>
          <w:szCs w:val="24"/>
        </w:rPr>
      </w:pPr>
      <w:r>
        <w:rPr>
          <w:rFonts w:hint="eastAsia"/>
          <w:sz w:val="24"/>
          <w:szCs w:val="24"/>
        </w:rPr>
        <w:t xml:space="preserve">项目介绍 </w:t>
      </w:r>
    </w:p>
    <w:p>
      <w:pPr>
        <w:spacing w:line="360" w:lineRule="auto"/>
        <w:rPr>
          <w:rFonts w:hint="eastAsia" w:cs="Tahoma"/>
          <w:sz w:val="24"/>
        </w:rPr>
      </w:pPr>
      <w:r>
        <w:rPr>
          <w:rFonts w:hint="eastAsia" w:ascii="宋体" w:hAnsi="宋体"/>
          <w:sz w:val="24"/>
        </w:rPr>
        <w:tab/>
      </w:r>
      <w:r>
        <w:rPr>
          <w:rFonts w:hint="eastAsia" w:ascii="宋体" w:hAnsi="宋体"/>
          <w:sz w:val="24"/>
        </w:rPr>
        <w:t>为</w:t>
      </w:r>
      <w:r>
        <w:rPr>
          <w:rFonts w:hint="eastAsia" w:ascii="Arial" w:hAnsi="Arial" w:cs="Arial"/>
          <w:sz w:val="24"/>
          <w:shd w:val="clear" w:color="auto" w:fill="FFFFFF"/>
        </w:rPr>
        <w:t>保障校园一卡通</w:t>
      </w:r>
      <w:r>
        <w:rPr>
          <w:rFonts w:ascii="Arial" w:hAnsi="Arial" w:cs="Arial"/>
          <w:sz w:val="24"/>
          <w:shd w:val="clear" w:color="auto" w:fill="FFFFFF"/>
        </w:rPr>
        <w:t>连续可靠正常地运行，</w:t>
      </w:r>
      <w:r>
        <w:rPr>
          <w:rFonts w:hint="eastAsia" w:ascii="宋体" w:hAnsi="宋体"/>
          <w:sz w:val="24"/>
        </w:rPr>
        <w:t>保障南京邮电大学通达学院校园一卡通</w:t>
      </w:r>
      <w:r>
        <w:rPr>
          <w:rFonts w:ascii="Arial" w:hAnsi="Arial" w:cs="Arial"/>
          <w:sz w:val="24"/>
          <w:shd w:val="clear" w:color="auto" w:fill="FFFFFF"/>
        </w:rPr>
        <w:t>系统</w:t>
      </w:r>
      <w:r>
        <w:rPr>
          <w:rFonts w:hint="eastAsia" w:ascii="Arial" w:hAnsi="Arial" w:cs="Arial"/>
          <w:sz w:val="24"/>
          <w:shd w:val="clear" w:color="auto" w:fill="FFFFFF"/>
        </w:rPr>
        <w:t>安全，拟采购运维审计系统一套，以</w:t>
      </w:r>
      <w:r>
        <w:rPr>
          <w:rFonts w:ascii="Arial" w:hAnsi="Arial" w:cs="Arial"/>
          <w:sz w:val="24"/>
          <w:shd w:val="clear" w:color="auto" w:fill="FFFFFF"/>
        </w:rPr>
        <w:t>将网络中设备和数据库等实施统一认证，实现对操作网络中设备和数据库等过程的全程监控与审计，对违规操作行为的实时阻断。</w:t>
      </w:r>
      <w:r>
        <w:rPr>
          <w:rFonts w:hint="eastAsia" w:cs="Tahoma"/>
          <w:sz w:val="24"/>
        </w:rPr>
        <w:t>协助网络管理人员及时、有效的发现异常安全事件及审计违规。</w:t>
      </w:r>
    </w:p>
    <w:p>
      <w:pPr>
        <w:spacing w:line="360" w:lineRule="auto"/>
        <w:rPr>
          <w:rFonts w:hint="eastAsia" w:ascii="宋体" w:hAnsi="宋体"/>
          <w:sz w:val="24"/>
        </w:rPr>
      </w:pPr>
    </w:p>
    <w:p>
      <w:pPr>
        <w:pStyle w:val="4"/>
        <w:numPr>
          <w:ilvl w:val="0"/>
          <w:numId w:val="3"/>
        </w:numPr>
        <w:spacing w:before="0" w:after="0" w:line="360" w:lineRule="auto"/>
        <w:rPr>
          <w:sz w:val="24"/>
          <w:szCs w:val="24"/>
        </w:rPr>
      </w:pPr>
      <w:r>
        <w:rPr>
          <w:rFonts w:hint="eastAsia"/>
          <w:sz w:val="24"/>
          <w:szCs w:val="24"/>
        </w:rPr>
        <w:t>技术要求</w:t>
      </w:r>
      <w:bookmarkEnd w:id="31"/>
      <w:bookmarkEnd w:id="32"/>
      <w:bookmarkEnd w:id="33"/>
    </w:p>
    <w:tbl>
      <w:tblPr>
        <w:tblStyle w:val="12"/>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16"/>
        <w:gridCol w:w="5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0" w:type="dxa"/>
            <w:noWrap w:val="0"/>
            <w:vAlign w:val="top"/>
          </w:tcPr>
          <w:p>
            <w:pPr>
              <w:spacing w:line="360" w:lineRule="auto"/>
              <w:jc w:val="center"/>
              <w:rPr>
                <w:rFonts w:hint="eastAsia" w:ascii="宋体" w:hAnsi="宋体"/>
                <w:b/>
                <w:bCs/>
                <w:sz w:val="24"/>
              </w:rPr>
            </w:pPr>
            <w:r>
              <w:rPr>
                <w:rFonts w:hint="eastAsia" w:ascii="宋体" w:hAnsi="宋体"/>
                <w:b/>
                <w:bCs/>
                <w:sz w:val="24"/>
              </w:rPr>
              <w:t>序号</w:t>
            </w:r>
          </w:p>
        </w:tc>
        <w:tc>
          <w:tcPr>
            <w:tcW w:w="1816" w:type="dxa"/>
            <w:noWrap w:val="0"/>
            <w:vAlign w:val="center"/>
          </w:tcPr>
          <w:p>
            <w:pPr>
              <w:spacing w:line="360" w:lineRule="auto"/>
              <w:jc w:val="center"/>
              <w:rPr>
                <w:rFonts w:ascii="宋体" w:hAnsi="宋体"/>
                <w:b/>
                <w:bCs/>
                <w:sz w:val="24"/>
              </w:rPr>
            </w:pPr>
            <w:r>
              <w:rPr>
                <w:rFonts w:hint="eastAsia" w:ascii="宋体" w:hAnsi="宋体"/>
                <w:b/>
                <w:bCs/>
                <w:sz w:val="24"/>
              </w:rPr>
              <w:t>参数名称</w:t>
            </w:r>
          </w:p>
        </w:tc>
        <w:tc>
          <w:tcPr>
            <w:tcW w:w="5859" w:type="dxa"/>
            <w:noWrap w:val="0"/>
            <w:vAlign w:val="center"/>
          </w:tcPr>
          <w:p>
            <w:pPr>
              <w:spacing w:line="360" w:lineRule="auto"/>
              <w:jc w:val="center"/>
              <w:rPr>
                <w:rFonts w:ascii="宋体" w:hAnsi="宋体"/>
                <w:b/>
                <w:bCs/>
                <w:sz w:val="24"/>
              </w:rPr>
            </w:pPr>
            <w:r>
              <w:rPr>
                <w:rFonts w:hint="eastAsia" w:ascii="宋体" w:hAnsi="宋体"/>
                <w:b/>
                <w:bCs/>
                <w:sz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0"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1</w:t>
            </w:r>
          </w:p>
        </w:tc>
        <w:tc>
          <w:tcPr>
            <w:tcW w:w="1816" w:type="dxa"/>
            <w:vMerge w:val="restart"/>
            <w:noWrap w:val="0"/>
            <w:vAlign w:val="center"/>
          </w:tcPr>
          <w:p>
            <w:pPr>
              <w:spacing w:line="360" w:lineRule="auto"/>
              <w:jc w:val="center"/>
              <w:rPr>
                <w:rFonts w:ascii="宋体" w:hAnsi="宋体"/>
                <w:sz w:val="18"/>
                <w:szCs w:val="18"/>
              </w:rPr>
            </w:pPr>
            <w:r>
              <w:rPr>
                <w:rFonts w:hint="eastAsia" w:ascii="宋体" w:hAnsi="宋体"/>
                <w:sz w:val="18"/>
                <w:szCs w:val="18"/>
              </w:rPr>
              <w:t>硬件要求</w:t>
            </w:r>
          </w:p>
        </w:tc>
        <w:tc>
          <w:tcPr>
            <w:tcW w:w="5859" w:type="dxa"/>
            <w:noWrap w:val="0"/>
            <w:vAlign w:val="center"/>
          </w:tcPr>
          <w:p>
            <w:pPr>
              <w:rPr>
                <w:rFonts w:ascii="宋体" w:hAnsi="宋体"/>
                <w:sz w:val="18"/>
                <w:szCs w:val="18"/>
              </w:rPr>
            </w:pPr>
            <w:r>
              <w:rPr>
                <w:rFonts w:hint="eastAsia" w:ascii="宋体" w:hAnsi="宋体"/>
                <w:sz w:val="18"/>
                <w:szCs w:val="18"/>
              </w:rPr>
              <w:t>2U机架式一体化设备，内置应用发布中心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spacing w:line="360" w:lineRule="auto"/>
              <w:jc w:val="center"/>
              <w:rPr>
                <w:rFonts w:ascii="宋体" w:hAnsi="宋体"/>
                <w:sz w:val="18"/>
                <w:szCs w:val="18"/>
              </w:rPr>
            </w:pPr>
          </w:p>
        </w:tc>
        <w:tc>
          <w:tcPr>
            <w:tcW w:w="1816" w:type="dxa"/>
            <w:vMerge w:val="continue"/>
            <w:noWrap w:val="0"/>
            <w:vAlign w:val="center"/>
          </w:tcPr>
          <w:p>
            <w:pPr>
              <w:spacing w:line="360" w:lineRule="auto"/>
              <w:jc w:val="center"/>
              <w:rPr>
                <w:rFonts w:ascii="宋体" w:hAnsi="宋体"/>
                <w:sz w:val="18"/>
                <w:szCs w:val="18"/>
              </w:rPr>
            </w:pPr>
          </w:p>
        </w:tc>
        <w:tc>
          <w:tcPr>
            <w:tcW w:w="5859" w:type="dxa"/>
            <w:noWrap w:val="0"/>
            <w:vAlign w:val="center"/>
          </w:tcPr>
          <w:p>
            <w:pPr>
              <w:rPr>
                <w:rFonts w:ascii="宋体" w:hAnsi="宋体"/>
                <w:sz w:val="18"/>
                <w:szCs w:val="18"/>
              </w:rPr>
            </w:pPr>
            <w:r>
              <w:rPr>
                <w:rFonts w:hint="eastAsia" w:ascii="宋体" w:hAnsi="宋体"/>
                <w:sz w:val="18"/>
                <w:szCs w:val="18"/>
              </w:rPr>
              <w:t>硬盘：≥2T ；内存：≥8G；网络接口：≥</w:t>
            </w:r>
            <w:r>
              <w:rPr>
                <w:rFonts w:ascii="宋体" w:hAnsi="宋体"/>
                <w:sz w:val="18"/>
                <w:szCs w:val="18"/>
              </w:rPr>
              <w:t>4</w:t>
            </w:r>
            <w:r>
              <w:rPr>
                <w:rFonts w:hint="eastAsia" w:ascii="宋体" w:hAnsi="宋体"/>
                <w:sz w:val="18"/>
                <w:szCs w:val="18"/>
              </w:rPr>
              <w:t>个自适应电口</w:t>
            </w:r>
            <w:r>
              <w:rPr>
                <w:rFonts w:hint="eastAsia" w:ascii="宋体" w:hAnsi="宋体" w:cs="宋体"/>
                <w:kern w:val="0"/>
                <w:sz w:val="18"/>
                <w:szCs w:val="18"/>
              </w:rPr>
              <w:t>；</w:t>
            </w:r>
            <w:r>
              <w:rPr>
                <w:rFonts w:hint="eastAsia" w:ascii="宋体" w:hAnsi="宋体"/>
                <w:sz w:val="18"/>
                <w:szCs w:val="18"/>
              </w:rPr>
              <w:t>单电源，可扩展；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20" w:type="dxa"/>
            <w:noWrap w:val="0"/>
            <w:vAlign w:val="center"/>
          </w:tcPr>
          <w:p>
            <w:pPr>
              <w:spacing w:line="360" w:lineRule="auto"/>
              <w:jc w:val="center"/>
              <w:rPr>
                <w:rFonts w:hint="eastAsia" w:ascii="宋体" w:hAnsi="宋体"/>
                <w:sz w:val="18"/>
                <w:szCs w:val="18"/>
              </w:rPr>
            </w:pPr>
            <w:r>
              <w:rPr>
                <w:rFonts w:hint="eastAsia" w:ascii="宋体" w:hAnsi="宋体"/>
                <w:sz w:val="18"/>
                <w:szCs w:val="18"/>
              </w:rPr>
              <w:t>2</w:t>
            </w:r>
          </w:p>
        </w:tc>
        <w:tc>
          <w:tcPr>
            <w:tcW w:w="1816" w:type="dxa"/>
            <w:noWrap w:val="0"/>
            <w:vAlign w:val="center"/>
          </w:tcPr>
          <w:p>
            <w:pPr>
              <w:spacing w:line="360" w:lineRule="auto"/>
              <w:jc w:val="center"/>
              <w:rPr>
                <w:rFonts w:ascii="宋体" w:hAnsi="宋体"/>
                <w:sz w:val="18"/>
                <w:szCs w:val="18"/>
              </w:rPr>
            </w:pPr>
            <w:r>
              <w:rPr>
                <w:rFonts w:hint="eastAsia" w:ascii="宋体" w:hAnsi="宋体"/>
                <w:sz w:val="18"/>
                <w:szCs w:val="18"/>
              </w:rPr>
              <w:t>可管理设备数</w:t>
            </w:r>
          </w:p>
        </w:tc>
        <w:tc>
          <w:tcPr>
            <w:tcW w:w="5859" w:type="dxa"/>
            <w:noWrap w:val="0"/>
            <w:vAlign w:val="center"/>
          </w:tcPr>
          <w:p>
            <w:pPr>
              <w:rPr>
                <w:rFonts w:ascii="宋体" w:hAnsi="宋体"/>
                <w:sz w:val="18"/>
                <w:szCs w:val="18"/>
              </w:rPr>
            </w:pPr>
            <w:r>
              <w:rPr>
                <w:rFonts w:hint="eastAsia" w:ascii="宋体" w:hAnsi="宋体"/>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0"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3</w:t>
            </w:r>
          </w:p>
        </w:tc>
        <w:tc>
          <w:tcPr>
            <w:tcW w:w="1816" w:type="dxa"/>
            <w:vMerge w:val="restart"/>
            <w:noWrap w:val="0"/>
            <w:vAlign w:val="center"/>
          </w:tcPr>
          <w:p>
            <w:pPr>
              <w:spacing w:line="360" w:lineRule="auto"/>
              <w:jc w:val="center"/>
              <w:rPr>
                <w:rFonts w:ascii="宋体" w:hAnsi="宋体"/>
                <w:sz w:val="18"/>
                <w:szCs w:val="18"/>
              </w:rPr>
            </w:pPr>
            <w:r>
              <w:rPr>
                <w:rFonts w:hint="eastAsia" w:ascii="宋体" w:hAnsi="宋体"/>
                <w:sz w:val="18"/>
                <w:szCs w:val="18"/>
              </w:rPr>
              <w:t>高可靠性要求</w:t>
            </w:r>
          </w:p>
        </w:tc>
        <w:tc>
          <w:tcPr>
            <w:tcW w:w="5859" w:type="dxa"/>
            <w:noWrap w:val="0"/>
            <w:vAlign w:val="center"/>
          </w:tcPr>
          <w:p>
            <w:pPr>
              <w:rPr>
                <w:rFonts w:ascii="宋体" w:hAnsi="宋体"/>
                <w:sz w:val="18"/>
                <w:szCs w:val="18"/>
              </w:rPr>
            </w:pPr>
            <w:r>
              <w:rPr>
                <w:rFonts w:hint="eastAsia" w:ascii="宋体" w:hAnsi="宋体"/>
                <w:sz w:val="18"/>
                <w:szCs w:val="18"/>
              </w:rPr>
              <w:t>★支持双机热备，支持系统配置以及审计日志实时同步（提供截图证明有效）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0" w:type="dxa"/>
            <w:vMerge w:val="continue"/>
            <w:noWrap w:val="0"/>
            <w:vAlign w:val="top"/>
          </w:tcPr>
          <w:p>
            <w:pPr>
              <w:spacing w:line="360" w:lineRule="auto"/>
              <w:jc w:val="center"/>
              <w:rPr>
                <w:rFonts w:hint="eastAsia" w:ascii="宋体" w:hAnsi="宋体"/>
                <w:sz w:val="18"/>
                <w:szCs w:val="18"/>
              </w:rPr>
            </w:pPr>
          </w:p>
        </w:tc>
        <w:tc>
          <w:tcPr>
            <w:tcW w:w="1816" w:type="dxa"/>
            <w:vMerge w:val="continue"/>
            <w:noWrap w:val="0"/>
            <w:vAlign w:val="center"/>
          </w:tcPr>
          <w:p>
            <w:pPr>
              <w:spacing w:line="360" w:lineRule="auto"/>
              <w:jc w:val="center"/>
              <w:rPr>
                <w:rFonts w:hint="eastAsia" w:ascii="宋体" w:hAnsi="宋体"/>
                <w:sz w:val="18"/>
                <w:szCs w:val="18"/>
              </w:rPr>
            </w:pPr>
          </w:p>
        </w:tc>
        <w:tc>
          <w:tcPr>
            <w:tcW w:w="5859" w:type="dxa"/>
            <w:noWrap w:val="0"/>
            <w:vAlign w:val="center"/>
          </w:tcPr>
          <w:p>
            <w:pPr>
              <w:rPr>
                <w:rFonts w:hint="eastAsia" w:ascii="宋体" w:hAnsi="宋体"/>
                <w:sz w:val="18"/>
                <w:szCs w:val="18"/>
              </w:rPr>
            </w:pPr>
            <w:r>
              <w:rPr>
                <w:rFonts w:hint="eastAsia" w:ascii="宋体" w:hAnsi="宋体"/>
                <w:sz w:val="18"/>
                <w:szCs w:val="18"/>
              </w:rPr>
              <w:t>支持集群部署，系统策略支持统一下发，后期升级扩容方式支持单节点扩容，无需进行软硬件的二次升级即可完成。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20" w:type="dxa"/>
            <w:vMerge w:val="continue"/>
            <w:noWrap w:val="0"/>
            <w:vAlign w:val="top"/>
          </w:tcPr>
          <w:p>
            <w:pPr>
              <w:spacing w:line="360" w:lineRule="auto"/>
              <w:jc w:val="center"/>
              <w:rPr>
                <w:rFonts w:ascii="宋体" w:hAnsi="宋体"/>
                <w:sz w:val="18"/>
                <w:szCs w:val="18"/>
              </w:rPr>
            </w:pPr>
          </w:p>
        </w:tc>
        <w:tc>
          <w:tcPr>
            <w:tcW w:w="1816" w:type="dxa"/>
            <w:vMerge w:val="continue"/>
            <w:noWrap w:val="0"/>
            <w:vAlign w:val="center"/>
          </w:tcPr>
          <w:p>
            <w:pPr>
              <w:spacing w:line="360" w:lineRule="auto"/>
              <w:jc w:val="center"/>
              <w:rPr>
                <w:rFonts w:ascii="宋体" w:hAnsi="宋体"/>
                <w:sz w:val="18"/>
                <w:szCs w:val="18"/>
              </w:rPr>
            </w:pPr>
          </w:p>
        </w:tc>
        <w:tc>
          <w:tcPr>
            <w:tcW w:w="5859" w:type="dxa"/>
            <w:noWrap w:val="0"/>
            <w:vAlign w:val="center"/>
          </w:tcPr>
          <w:p>
            <w:pPr>
              <w:rPr>
                <w:rFonts w:ascii="宋体" w:hAnsi="宋体"/>
                <w:sz w:val="18"/>
                <w:szCs w:val="18"/>
              </w:rPr>
            </w:pPr>
            <w:r>
              <w:rPr>
                <w:rFonts w:hint="eastAsia" w:ascii="宋体" w:hAnsi="宋体"/>
                <w:sz w:val="18"/>
                <w:szCs w:val="18"/>
              </w:rPr>
              <w:t>★支持第三方负载均衡，并支持集群自带的负载均衡模块。（提供截图证明有效）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0" w:type="dxa"/>
            <w:noWrap w:val="0"/>
            <w:vAlign w:val="center"/>
          </w:tcPr>
          <w:p>
            <w:pPr>
              <w:spacing w:line="360" w:lineRule="auto"/>
              <w:jc w:val="center"/>
              <w:rPr>
                <w:rFonts w:hint="eastAsia" w:ascii="宋体" w:hAnsi="宋体"/>
                <w:sz w:val="18"/>
                <w:szCs w:val="18"/>
              </w:rPr>
            </w:pPr>
            <w:r>
              <w:rPr>
                <w:rFonts w:hint="eastAsia" w:ascii="宋体" w:hAnsi="宋体"/>
                <w:sz w:val="18"/>
                <w:szCs w:val="18"/>
              </w:rPr>
              <w:t>4</w:t>
            </w:r>
          </w:p>
        </w:tc>
        <w:tc>
          <w:tcPr>
            <w:tcW w:w="1816" w:type="dxa"/>
            <w:noWrap w:val="0"/>
            <w:vAlign w:val="center"/>
          </w:tcPr>
          <w:p>
            <w:pPr>
              <w:spacing w:line="360" w:lineRule="auto"/>
              <w:jc w:val="center"/>
              <w:rPr>
                <w:rFonts w:ascii="宋体" w:hAnsi="宋体"/>
                <w:sz w:val="18"/>
                <w:szCs w:val="18"/>
              </w:rPr>
            </w:pPr>
            <w:r>
              <w:rPr>
                <w:rFonts w:ascii="宋体" w:hAnsi="宋体"/>
                <w:sz w:val="18"/>
                <w:szCs w:val="18"/>
              </w:rPr>
              <w:t>支持协议类型</w:t>
            </w:r>
          </w:p>
        </w:tc>
        <w:tc>
          <w:tcPr>
            <w:tcW w:w="5859" w:type="dxa"/>
            <w:noWrap w:val="0"/>
            <w:vAlign w:val="bottom"/>
          </w:tcPr>
          <w:p>
            <w:pPr>
              <w:jc w:val="left"/>
              <w:rPr>
                <w:rFonts w:ascii="宋体" w:hAnsi="宋体"/>
                <w:kern w:val="0"/>
                <w:sz w:val="18"/>
                <w:szCs w:val="18"/>
              </w:rPr>
            </w:pPr>
            <w:r>
              <w:rPr>
                <w:rFonts w:hint="eastAsia" w:ascii="宋体" w:hAnsi="宋体"/>
                <w:kern w:val="0"/>
                <w:sz w:val="18"/>
                <w:szCs w:val="18"/>
              </w:rPr>
              <w:t>图形终端协议：RDP、VNC、X11</w:t>
            </w:r>
          </w:p>
          <w:p>
            <w:pPr>
              <w:jc w:val="left"/>
              <w:rPr>
                <w:rFonts w:ascii="宋体" w:hAnsi="宋体"/>
                <w:kern w:val="0"/>
                <w:sz w:val="18"/>
                <w:szCs w:val="18"/>
              </w:rPr>
            </w:pPr>
            <w:r>
              <w:rPr>
                <w:rFonts w:hint="eastAsia" w:ascii="宋体" w:hAnsi="宋体"/>
                <w:kern w:val="0"/>
                <w:sz w:val="18"/>
                <w:szCs w:val="18"/>
              </w:rPr>
              <w:t>字符终端协议：Telnet、SSH</w:t>
            </w:r>
          </w:p>
          <w:p>
            <w:pPr>
              <w:jc w:val="left"/>
              <w:rPr>
                <w:rFonts w:ascii="宋体" w:hAnsi="宋体"/>
                <w:kern w:val="0"/>
                <w:sz w:val="18"/>
                <w:szCs w:val="18"/>
              </w:rPr>
            </w:pPr>
            <w:r>
              <w:rPr>
                <w:rFonts w:hint="eastAsia" w:ascii="宋体" w:hAnsi="宋体"/>
                <w:kern w:val="0"/>
                <w:sz w:val="18"/>
                <w:szCs w:val="18"/>
              </w:rPr>
              <w:t>文件传输协议：FTP、SFTP</w:t>
            </w:r>
          </w:p>
          <w:p>
            <w:pPr>
              <w:jc w:val="left"/>
              <w:rPr>
                <w:rFonts w:ascii="宋体" w:hAnsi="宋体"/>
                <w:kern w:val="0"/>
                <w:sz w:val="18"/>
                <w:szCs w:val="18"/>
              </w:rPr>
            </w:pPr>
            <w:r>
              <w:rPr>
                <w:rFonts w:hint="eastAsia" w:ascii="宋体" w:hAnsi="宋体"/>
                <w:kern w:val="0"/>
                <w:sz w:val="18"/>
                <w:szCs w:val="18"/>
              </w:rPr>
              <w:t>数据库类型：Oracle：PLSQL、TOAD、SQLPLUS、SQLDEVELOPER；Informix：DBACCESS；Mysql：MYSQLFRONT、</w:t>
            </w:r>
            <w:r>
              <w:rPr>
                <w:rFonts w:ascii="宋体" w:hAnsi="宋体"/>
                <w:kern w:val="0"/>
                <w:sz w:val="18"/>
                <w:szCs w:val="18"/>
              </w:rPr>
              <w:t>HeidiSQL</w:t>
            </w:r>
            <w:r>
              <w:rPr>
                <w:rFonts w:hint="eastAsia" w:ascii="宋体" w:hAnsi="宋体"/>
                <w:kern w:val="0"/>
                <w:sz w:val="18"/>
                <w:szCs w:val="18"/>
              </w:rPr>
              <w:t>；SQL Server：SQLserver（2000-2012）；Sybase：SCVIEW4；DB2：DB2CMD、DB2QUEST</w:t>
            </w:r>
          </w:p>
          <w:p>
            <w:pPr>
              <w:jc w:val="left"/>
              <w:rPr>
                <w:rFonts w:ascii="宋体" w:hAnsi="宋体"/>
                <w:kern w:val="0"/>
                <w:sz w:val="18"/>
                <w:szCs w:val="18"/>
              </w:rPr>
            </w:pPr>
            <w:r>
              <w:rPr>
                <w:rFonts w:hint="eastAsia" w:ascii="宋体" w:hAnsi="宋体"/>
                <w:b/>
                <w:kern w:val="0"/>
                <w:sz w:val="18"/>
                <w:szCs w:val="18"/>
              </w:rPr>
              <w:t>W</w:t>
            </w:r>
            <w:r>
              <w:rPr>
                <w:rFonts w:hint="eastAsia" w:ascii="宋体" w:hAnsi="宋体"/>
                <w:kern w:val="0"/>
                <w:sz w:val="18"/>
                <w:szCs w:val="18"/>
              </w:rPr>
              <w:t>EB应用：HTTP、HTTPS</w:t>
            </w:r>
          </w:p>
          <w:p>
            <w:pPr>
              <w:rPr>
                <w:rFonts w:ascii="宋体" w:hAnsi="宋体"/>
                <w:kern w:val="0"/>
                <w:sz w:val="18"/>
                <w:szCs w:val="18"/>
              </w:rPr>
            </w:pPr>
            <w:r>
              <w:rPr>
                <w:rFonts w:hint="eastAsia" w:ascii="宋体" w:hAnsi="宋体"/>
                <w:kern w:val="0"/>
                <w:sz w:val="18"/>
                <w:szCs w:val="18"/>
              </w:rPr>
              <w:t>KVM类:DSR、DSVIEW、RARITAN、RARITAN_CC等</w:t>
            </w:r>
          </w:p>
          <w:p>
            <w:pPr>
              <w:rPr>
                <w:rFonts w:ascii="宋体" w:hAnsi="宋体"/>
                <w:sz w:val="18"/>
                <w:szCs w:val="18"/>
              </w:rPr>
            </w:pPr>
            <w:r>
              <w:rPr>
                <w:rFonts w:hint="eastAsia" w:ascii="宋体" w:hAnsi="宋体"/>
                <w:kern w:val="0"/>
                <w:sz w:val="18"/>
                <w:szCs w:val="18"/>
              </w:rPr>
              <w:t>其它应用：AS400、REALVNC、PGADMIN、PCANYWHERE、RADMIN、DameWare、CiscoASDM、VMware vSphere Client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5</w:t>
            </w:r>
          </w:p>
        </w:tc>
        <w:tc>
          <w:tcPr>
            <w:tcW w:w="1816" w:type="dxa"/>
            <w:vMerge w:val="restart"/>
            <w:noWrap w:val="0"/>
            <w:vAlign w:val="center"/>
          </w:tcPr>
          <w:p>
            <w:pPr>
              <w:spacing w:line="360" w:lineRule="auto"/>
              <w:jc w:val="center"/>
              <w:rPr>
                <w:rFonts w:ascii="宋体" w:hAnsi="宋体"/>
                <w:sz w:val="18"/>
                <w:szCs w:val="18"/>
              </w:rPr>
            </w:pPr>
            <w:r>
              <w:rPr>
                <w:rFonts w:hint="eastAsia" w:ascii="宋体" w:hAnsi="宋体"/>
                <w:sz w:val="18"/>
                <w:szCs w:val="18"/>
              </w:rPr>
              <w:t>单点登录</w:t>
            </w:r>
          </w:p>
        </w:tc>
        <w:tc>
          <w:tcPr>
            <w:tcW w:w="5859" w:type="dxa"/>
            <w:noWrap w:val="0"/>
            <w:vAlign w:val="top"/>
          </w:tcPr>
          <w:p>
            <w:pPr>
              <w:rPr>
                <w:rFonts w:ascii="宋体" w:hAnsi="宋体"/>
                <w:sz w:val="18"/>
                <w:szCs w:val="18"/>
              </w:rPr>
            </w:pPr>
            <w:r>
              <w:rPr>
                <w:rFonts w:hint="eastAsia" w:ascii="宋体" w:hAnsi="宋体"/>
                <w:kern w:val="0"/>
                <w:sz w:val="18"/>
                <w:szCs w:val="18"/>
              </w:rPr>
              <w:t>上述所有协议类型均可实现单点登录，图形化应用无需安装任何客户端和控件即可实现单点登录，即通过堡垒机实现图形化应用发布功能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支持 Google Chrome浏览器代填登录页面；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sz w:val="18"/>
                <w:szCs w:val="18"/>
              </w:rPr>
              <w:t>★</w:t>
            </w:r>
            <w:r>
              <w:rPr>
                <w:rFonts w:hint="eastAsia" w:ascii="宋体" w:hAnsi="宋体"/>
                <w:kern w:val="0"/>
                <w:sz w:val="18"/>
                <w:szCs w:val="18"/>
              </w:rPr>
              <w:t>支持IE代填类型包括 JS、flash、HTML5等特殊登录页面。(提供截图证明有效）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6</w:t>
            </w:r>
          </w:p>
        </w:tc>
        <w:tc>
          <w:tcPr>
            <w:tcW w:w="1816" w:type="dxa"/>
            <w:noWrap w:val="0"/>
            <w:vAlign w:val="center"/>
          </w:tcPr>
          <w:p>
            <w:pPr>
              <w:spacing w:line="360" w:lineRule="auto"/>
              <w:jc w:val="center"/>
              <w:rPr>
                <w:rFonts w:ascii="宋体" w:hAnsi="宋体"/>
                <w:kern w:val="0"/>
                <w:sz w:val="18"/>
                <w:szCs w:val="18"/>
              </w:rPr>
            </w:pPr>
            <w:r>
              <w:rPr>
                <w:rFonts w:hint="eastAsia" w:ascii="宋体" w:hAnsi="宋体"/>
                <w:kern w:val="0"/>
                <w:sz w:val="18"/>
                <w:szCs w:val="18"/>
              </w:rPr>
              <w:t>无缝应用发布功能</w:t>
            </w:r>
          </w:p>
        </w:tc>
        <w:tc>
          <w:tcPr>
            <w:tcW w:w="5859" w:type="dxa"/>
            <w:noWrap w:val="0"/>
            <w:vAlign w:val="bottom"/>
          </w:tcPr>
          <w:p>
            <w:pPr>
              <w:rPr>
                <w:rFonts w:ascii="宋体" w:hAnsi="宋体"/>
                <w:kern w:val="0"/>
                <w:sz w:val="18"/>
                <w:szCs w:val="18"/>
              </w:rPr>
            </w:pPr>
            <w:r>
              <w:rPr>
                <w:rFonts w:hint="eastAsia" w:ascii="宋体" w:hAnsi="宋体"/>
                <w:sz w:val="18"/>
                <w:szCs w:val="18"/>
              </w:rPr>
              <w:t>★</w:t>
            </w:r>
            <w:r>
              <w:rPr>
                <w:rFonts w:hint="eastAsia" w:ascii="宋体" w:hAnsi="宋体"/>
                <w:kern w:val="0"/>
                <w:sz w:val="18"/>
                <w:szCs w:val="18"/>
              </w:rPr>
              <w:t>要求以上所有图形化应用在实际操作环境中均可以正常使用且可自由调整应用的窗口大小，做到无缝发布，拖拽窗口应自然流畅，无卡顿现象，像是在本地运行应用程序一样(提供截图证明有效）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20" w:type="dxa"/>
            <w:vMerge w:val="restart"/>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7</w:t>
            </w:r>
          </w:p>
        </w:tc>
        <w:tc>
          <w:tcPr>
            <w:tcW w:w="1816" w:type="dxa"/>
            <w:vMerge w:val="restart"/>
            <w:noWrap w:val="0"/>
            <w:vAlign w:val="center"/>
          </w:tcPr>
          <w:p>
            <w:pPr>
              <w:spacing w:line="360" w:lineRule="auto"/>
              <w:jc w:val="center"/>
              <w:rPr>
                <w:rFonts w:ascii="宋体" w:hAnsi="宋体"/>
                <w:kern w:val="0"/>
                <w:sz w:val="18"/>
                <w:szCs w:val="18"/>
              </w:rPr>
            </w:pPr>
            <w:r>
              <w:rPr>
                <w:rFonts w:hint="eastAsia" w:ascii="宋体" w:hAnsi="宋体"/>
                <w:kern w:val="0"/>
                <w:sz w:val="18"/>
                <w:szCs w:val="18"/>
              </w:rPr>
              <w:t>系统自身安全性</w:t>
            </w:r>
          </w:p>
        </w:tc>
        <w:tc>
          <w:tcPr>
            <w:tcW w:w="5859" w:type="dxa"/>
            <w:noWrap w:val="0"/>
            <w:vAlign w:val="bottom"/>
          </w:tcPr>
          <w:p>
            <w:pPr>
              <w:rPr>
                <w:rFonts w:ascii="宋体" w:hAnsi="宋体"/>
                <w:kern w:val="0"/>
                <w:sz w:val="18"/>
                <w:szCs w:val="18"/>
              </w:rPr>
            </w:pPr>
            <w:r>
              <w:rPr>
                <w:rFonts w:hint="eastAsia" w:ascii="宋体" w:hAnsi="宋体"/>
                <w:kern w:val="0"/>
                <w:sz w:val="18"/>
                <w:szCs w:val="18"/>
              </w:rPr>
              <w:t>支持IP自动禁止功能，对连续登陆账号密码错误的来源IP自动屏蔽，可通过管理员解除屏蔽。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bottom"/>
          </w:tcPr>
          <w:p>
            <w:pPr>
              <w:rPr>
                <w:rFonts w:hint="eastAsia" w:ascii="宋体" w:hAnsi="宋体"/>
                <w:kern w:val="0"/>
                <w:sz w:val="18"/>
                <w:szCs w:val="18"/>
              </w:rPr>
            </w:pPr>
            <w:r>
              <w:rPr>
                <w:rFonts w:hint="eastAsia" w:ascii="宋体" w:hAnsi="宋体"/>
                <w:kern w:val="0"/>
                <w:sz w:val="18"/>
                <w:szCs w:val="18"/>
              </w:rPr>
              <w:t>支持账号自动锁定功能，用户1分钟内连续输入账号密码错误，自动锁定该账号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bottom"/>
          </w:tcPr>
          <w:p>
            <w:pPr>
              <w:rPr>
                <w:rFonts w:hint="eastAsia" w:ascii="宋体" w:hAnsi="宋体"/>
                <w:kern w:val="0"/>
                <w:sz w:val="18"/>
                <w:szCs w:val="18"/>
              </w:rPr>
            </w:pPr>
            <w:r>
              <w:rPr>
                <w:rFonts w:hint="eastAsia" w:ascii="宋体" w:hAnsi="宋体"/>
                <w:kern w:val="0"/>
                <w:sz w:val="18"/>
                <w:szCs w:val="18"/>
              </w:rPr>
              <w:t>支持对应用中心状态、审计状态和端口状态是否正常工作进行一键检查。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bottom"/>
          </w:tcPr>
          <w:p>
            <w:pPr>
              <w:rPr>
                <w:rFonts w:hint="eastAsia" w:ascii="宋体" w:hAnsi="宋体"/>
                <w:kern w:val="0"/>
                <w:sz w:val="18"/>
                <w:szCs w:val="18"/>
              </w:rPr>
            </w:pPr>
            <w:r>
              <w:rPr>
                <w:rFonts w:hint="eastAsia" w:ascii="宋体" w:hAnsi="宋体"/>
                <w:kern w:val="0"/>
                <w:sz w:val="18"/>
                <w:szCs w:val="18"/>
              </w:rPr>
              <w:t>保证在特殊情况下通过console口连接。保证紧急情况能够用过console管理员密码或网络IP地址。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restart"/>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8</w:t>
            </w:r>
          </w:p>
        </w:tc>
        <w:tc>
          <w:tcPr>
            <w:tcW w:w="1816" w:type="dxa"/>
            <w:vMerge w:val="restart"/>
            <w:noWrap w:val="0"/>
            <w:vAlign w:val="center"/>
          </w:tcPr>
          <w:p>
            <w:pPr>
              <w:spacing w:line="360" w:lineRule="auto"/>
              <w:jc w:val="center"/>
              <w:rPr>
                <w:rFonts w:ascii="宋体" w:hAnsi="宋体"/>
                <w:kern w:val="0"/>
                <w:sz w:val="18"/>
                <w:szCs w:val="18"/>
              </w:rPr>
            </w:pPr>
            <w:r>
              <w:rPr>
                <w:rFonts w:hint="eastAsia" w:ascii="宋体" w:hAnsi="宋体"/>
                <w:kern w:val="0"/>
                <w:sz w:val="18"/>
                <w:szCs w:val="18"/>
              </w:rPr>
              <w:t>运维管理</w:t>
            </w:r>
          </w:p>
        </w:tc>
        <w:tc>
          <w:tcPr>
            <w:tcW w:w="5859" w:type="dxa"/>
            <w:noWrap w:val="0"/>
            <w:vAlign w:val="bottom"/>
          </w:tcPr>
          <w:p>
            <w:pPr>
              <w:rPr>
                <w:rFonts w:ascii="宋体" w:hAnsi="宋体"/>
                <w:kern w:val="0"/>
                <w:sz w:val="18"/>
                <w:szCs w:val="18"/>
              </w:rPr>
            </w:pPr>
            <w:r>
              <w:rPr>
                <w:rFonts w:hint="eastAsia" w:ascii="宋体" w:hAnsi="宋体"/>
                <w:kern w:val="0"/>
                <w:sz w:val="18"/>
                <w:szCs w:val="18"/>
              </w:rPr>
              <w:t>支持C/S与B/S运维方式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bottom"/>
          </w:tcPr>
          <w:p>
            <w:pPr>
              <w:rPr>
                <w:rFonts w:hint="eastAsia" w:ascii="宋体" w:hAnsi="宋体"/>
                <w:kern w:val="0"/>
                <w:sz w:val="18"/>
                <w:szCs w:val="18"/>
              </w:rPr>
            </w:pPr>
            <w:r>
              <w:rPr>
                <w:rFonts w:hint="eastAsia" w:ascii="宋体" w:hAnsi="宋体"/>
                <w:kern w:val="0"/>
                <w:sz w:val="18"/>
                <w:szCs w:val="18"/>
              </w:rPr>
              <w:t>支持字符类putty、SecureCRT等工具的各类属性：终端属性、字符编码、窗口大小随意调整等等；图形类mstsc工具的原有属性：自定义开启/关闭磁盘映射、剪切板等，支持窗口大小随意调整、声音传输等等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bottom"/>
          </w:tcPr>
          <w:p>
            <w:pPr>
              <w:rPr>
                <w:rFonts w:hint="eastAsia" w:ascii="宋体" w:hAnsi="宋体"/>
                <w:kern w:val="0"/>
                <w:sz w:val="18"/>
                <w:szCs w:val="18"/>
              </w:rPr>
            </w:pPr>
            <w:r>
              <w:rPr>
                <w:rFonts w:hint="eastAsia" w:ascii="宋体" w:hAnsi="宋体"/>
                <w:kern w:val="0"/>
                <w:sz w:val="18"/>
                <w:szCs w:val="18"/>
              </w:rPr>
              <w:t>可以指定系统用户查看该用户可管理的资产信息；可以指定资源名/资产IP/账号名查看资产属于哪些系统用户管理。授权关系导出（可以导出用户和设备授权关系进行查看，导出展现形式excel）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bottom"/>
          </w:tcPr>
          <w:p>
            <w:pPr>
              <w:rPr>
                <w:rFonts w:hint="eastAsia" w:ascii="宋体" w:hAnsi="宋体"/>
                <w:kern w:val="0"/>
                <w:sz w:val="18"/>
                <w:szCs w:val="18"/>
              </w:rPr>
            </w:pPr>
            <w:r>
              <w:rPr>
                <w:rFonts w:hint="eastAsia" w:ascii="宋体" w:hAnsi="宋体"/>
                <w:kern w:val="0"/>
                <w:sz w:val="18"/>
                <w:szCs w:val="18"/>
              </w:rPr>
              <w:t>运维人员可以在系统Web界面填写授权审批流程单，填写内容至少应包括：设备资源、系统账号、协议类型、时间窗口；审批通过后，运维人员可立即取得相应访问权限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20" w:type="dxa"/>
            <w:vMerge w:val="continue"/>
            <w:noWrap w:val="0"/>
            <w:vAlign w:val="center"/>
          </w:tcPr>
          <w:p>
            <w:pPr>
              <w:spacing w:line="360" w:lineRule="auto"/>
              <w:jc w:val="center"/>
              <w:rPr>
                <w:rFonts w:ascii="宋体" w:hAnsi="宋体"/>
                <w:kern w:val="0"/>
                <w:sz w:val="18"/>
                <w:szCs w:val="18"/>
              </w:rPr>
            </w:pPr>
          </w:p>
        </w:tc>
        <w:tc>
          <w:tcPr>
            <w:tcW w:w="1816" w:type="dxa"/>
            <w:vMerge w:val="continue"/>
            <w:noWrap w:val="0"/>
            <w:vAlign w:val="center"/>
          </w:tcPr>
          <w:p>
            <w:pPr>
              <w:spacing w:line="360" w:lineRule="auto"/>
              <w:rPr>
                <w:rFonts w:ascii="宋体" w:hAnsi="宋体"/>
                <w:kern w:val="0"/>
                <w:sz w:val="18"/>
                <w:szCs w:val="18"/>
              </w:rPr>
            </w:pPr>
          </w:p>
        </w:tc>
        <w:tc>
          <w:tcPr>
            <w:tcW w:w="5859" w:type="dxa"/>
            <w:noWrap w:val="0"/>
            <w:vAlign w:val="bottom"/>
          </w:tcPr>
          <w:p>
            <w:pPr>
              <w:rPr>
                <w:rFonts w:ascii="宋体" w:hAnsi="宋体"/>
                <w:kern w:val="0"/>
                <w:sz w:val="18"/>
                <w:szCs w:val="18"/>
              </w:rPr>
            </w:pPr>
            <w:r>
              <w:rPr>
                <w:rFonts w:hint="eastAsia" w:ascii="宋体" w:hAnsi="宋体"/>
                <w:kern w:val="0"/>
                <w:sz w:val="18"/>
                <w:szCs w:val="18"/>
              </w:rPr>
              <w:t>支持普通用户资产批量运维功能</w:t>
            </w:r>
            <w:r>
              <w:rPr>
                <w:rFonts w:ascii="宋体" w:hAnsi="宋体"/>
                <w:kern w:val="0"/>
                <w:sz w:val="18"/>
                <w:szCs w:val="18"/>
              </w:rPr>
              <w:t>，支持字符终端、图形终端、图形应用，支持批量资产FTP</w:t>
            </w:r>
            <w:r>
              <w:rPr>
                <w:rFonts w:hint="eastAsia" w:ascii="宋体" w:hAnsi="宋体"/>
                <w:kern w:val="0"/>
                <w:sz w:val="18"/>
                <w:szCs w:val="18"/>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20" w:type="dxa"/>
            <w:vMerge w:val="continue"/>
            <w:noWrap w:val="0"/>
            <w:vAlign w:val="center"/>
          </w:tcPr>
          <w:p>
            <w:pPr>
              <w:spacing w:line="360" w:lineRule="auto"/>
              <w:jc w:val="center"/>
              <w:rPr>
                <w:rFonts w:ascii="宋体" w:hAnsi="宋体"/>
                <w:kern w:val="0"/>
                <w:sz w:val="18"/>
                <w:szCs w:val="18"/>
              </w:rPr>
            </w:pPr>
          </w:p>
        </w:tc>
        <w:tc>
          <w:tcPr>
            <w:tcW w:w="1816" w:type="dxa"/>
            <w:vMerge w:val="continue"/>
            <w:noWrap w:val="0"/>
            <w:vAlign w:val="center"/>
          </w:tcPr>
          <w:p>
            <w:pPr>
              <w:spacing w:line="360" w:lineRule="auto"/>
              <w:rPr>
                <w:rFonts w:ascii="宋体" w:hAnsi="宋体"/>
                <w:kern w:val="0"/>
                <w:sz w:val="18"/>
                <w:szCs w:val="18"/>
              </w:rPr>
            </w:pPr>
          </w:p>
        </w:tc>
        <w:tc>
          <w:tcPr>
            <w:tcW w:w="5859" w:type="dxa"/>
            <w:noWrap w:val="0"/>
            <w:vAlign w:val="bottom"/>
          </w:tcPr>
          <w:p>
            <w:pPr>
              <w:rPr>
                <w:rFonts w:hint="eastAsia" w:ascii="宋体" w:hAnsi="宋体"/>
                <w:kern w:val="0"/>
                <w:sz w:val="18"/>
                <w:szCs w:val="18"/>
              </w:rPr>
            </w:pPr>
            <w:r>
              <w:rPr>
                <w:rFonts w:hint="eastAsia" w:ascii="宋体" w:hAnsi="宋体"/>
                <w:kern w:val="0"/>
                <w:sz w:val="18"/>
                <w:szCs w:val="18"/>
              </w:rPr>
              <w:t>★提供绿色运维小助手，无需本地安装，运维操作不再依赖任何单一类型浏览器，完美实现兼容</w:t>
            </w:r>
            <w:r>
              <w:rPr>
                <w:rFonts w:ascii="宋体" w:hAnsi="宋体"/>
                <w:kern w:val="0"/>
                <w:sz w:val="18"/>
                <w:szCs w:val="18"/>
              </w:rPr>
              <w:t>IE</w:t>
            </w:r>
            <w:r>
              <w:rPr>
                <w:rFonts w:hint="eastAsia" w:ascii="宋体" w:hAnsi="宋体"/>
                <w:kern w:val="0"/>
                <w:sz w:val="18"/>
                <w:szCs w:val="18"/>
              </w:rPr>
              <w:t>、火狐</w:t>
            </w:r>
            <w:r>
              <w:rPr>
                <w:rFonts w:ascii="宋体" w:hAnsi="宋体"/>
                <w:kern w:val="0"/>
                <w:sz w:val="18"/>
                <w:szCs w:val="18"/>
              </w:rPr>
              <w:t>Firefox</w:t>
            </w:r>
            <w:r>
              <w:rPr>
                <w:rFonts w:hint="eastAsia" w:ascii="宋体" w:hAnsi="宋体"/>
                <w:kern w:val="0"/>
                <w:sz w:val="18"/>
                <w:szCs w:val="18"/>
              </w:rPr>
              <w:t>、谷歌</w:t>
            </w:r>
            <w:r>
              <w:rPr>
                <w:rFonts w:ascii="宋体" w:hAnsi="宋体"/>
                <w:kern w:val="0"/>
                <w:sz w:val="18"/>
                <w:szCs w:val="18"/>
              </w:rPr>
              <w:t>Chrome</w:t>
            </w:r>
            <w:r>
              <w:rPr>
                <w:rFonts w:hint="eastAsia" w:ascii="宋体" w:hAnsi="宋体"/>
                <w:kern w:val="0"/>
                <w:sz w:val="18"/>
                <w:szCs w:val="18"/>
              </w:rPr>
              <w:t>等其他任何类型浏览器（提供截图证明有效）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20" w:type="dxa"/>
            <w:vMerge w:val="continue"/>
            <w:noWrap w:val="0"/>
            <w:vAlign w:val="center"/>
          </w:tcPr>
          <w:p>
            <w:pPr>
              <w:spacing w:line="360" w:lineRule="auto"/>
              <w:jc w:val="center"/>
              <w:rPr>
                <w:rFonts w:ascii="宋体" w:hAnsi="宋体"/>
                <w:kern w:val="0"/>
                <w:sz w:val="18"/>
                <w:szCs w:val="18"/>
              </w:rPr>
            </w:pPr>
          </w:p>
        </w:tc>
        <w:tc>
          <w:tcPr>
            <w:tcW w:w="1816" w:type="dxa"/>
            <w:vMerge w:val="continue"/>
            <w:noWrap w:val="0"/>
            <w:vAlign w:val="center"/>
          </w:tcPr>
          <w:p>
            <w:pPr>
              <w:spacing w:line="360" w:lineRule="auto"/>
              <w:rPr>
                <w:rFonts w:ascii="宋体" w:hAnsi="宋体"/>
                <w:kern w:val="0"/>
                <w:sz w:val="18"/>
                <w:szCs w:val="18"/>
              </w:rPr>
            </w:pPr>
          </w:p>
        </w:tc>
        <w:tc>
          <w:tcPr>
            <w:tcW w:w="5859" w:type="dxa"/>
            <w:noWrap w:val="0"/>
            <w:vAlign w:val="bottom"/>
          </w:tcPr>
          <w:p>
            <w:pPr>
              <w:rPr>
                <w:rFonts w:hint="eastAsia" w:ascii="宋体" w:hAnsi="宋体"/>
                <w:kern w:val="0"/>
                <w:sz w:val="18"/>
                <w:szCs w:val="18"/>
              </w:rPr>
            </w:pPr>
            <w:r>
              <w:rPr>
                <w:rFonts w:hint="eastAsia" w:ascii="宋体" w:hAnsi="宋体"/>
                <w:kern w:val="0"/>
                <w:sz w:val="18"/>
                <w:szCs w:val="18"/>
              </w:rPr>
              <w:t>★为管理员和运维人员提供操作向导模式，方便用户进行设备管理和使用（提供截图证明有效）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20" w:type="dxa"/>
            <w:vMerge w:val="continue"/>
            <w:noWrap w:val="0"/>
            <w:vAlign w:val="center"/>
          </w:tcPr>
          <w:p>
            <w:pPr>
              <w:spacing w:line="360" w:lineRule="auto"/>
              <w:jc w:val="center"/>
              <w:rPr>
                <w:rFonts w:ascii="宋体" w:hAnsi="宋体"/>
                <w:kern w:val="0"/>
                <w:sz w:val="18"/>
                <w:szCs w:val="18"/>
              </w:rPr>
            </w:pPr>
          </w:p>
        </w:tc>
        <w:tc>
          <w:tcPr>
            <w:tcW w:w="1816" w:type="dxa"/>
            <w:vMerge w:val="continue"/>
            <w:noWrap w:val="0"/>
            <w:vAlign w:val="center"/>
          </w:tcPr>
          <w:p>
            <w:pPr>
              <w:spacing w:line="360" w:lineRule="auto"/>
              <w:rPr>
                <w:rFonts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可以制定计划任务，至字符类资产执行事先编辑好的脚本。</w:t>
            </w:r>
          </w:p>
          <w:p>
            <w:pPr>
              <w:rPr>
                <w:rFonts w:ascii="宋体" w:hAnsi="宋体"/>
                <w:kern w:val="0"/>
                <w:sz w:val="18"/>
                <w:szCs w:val="18"/>
              </w:rPr>
            </w:pPr>
            <w:r>
              <w:rPr>
                <w:rFonts w:hint="eastAsia" w:ascii="宋体" w:hAnsi="宋体"/>
                <w:kern w:val="0"/>
                <w:sz w:val="18"/>
                <w:szCs w:val="18"/>
              </w:rPr>
              <w:t>脚本超时执行时间为每个计划在单台机器上的超时时间。执行超过超时间后会断开连接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restart"/>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9</w:t>
            </w:r>
          </w:p>
        </w:tc>
        <w:tc>
          <w:tcPr>
            <w:tcW w:w="1816" w:type="dxa"/>
            <w:vMerge w:val="restart"/>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用户账号管理</w:t>
            </w:r>
          </w:p>
        </w:tc>
        <w:tc>
          <w:tcPr>
            <w:tcW w:w="5859" w:type="dxa"/>
            <w:noWrap w:val="0"/>
            <w:vAlign w:val="top"/>
          </w:tcPr>
          <w:p>
            <w:pPr>
              <w:rPr>
                <w:rFonts w:ascii="宋体" w:hAnsi="宋体"/>
                <w:kern w:val="0"/>
                <w:sz w:val="18"/>
                <w:szCs w:val="18"/>
              </w:rPr>
            </w:pPr>
            <w:r>
              <w:rPr>
                <w:rFonts w:hint="eastAsia" w:ascii="宋体" w:hAnsi="宋体"/>
                <w:kern w:val="0"/>
                <w:sz w:val="18"/>
                <w:szCs w:val="18"/>
              </w:rPr>
              <w:t>系统角色需按法案要求进行划分，至少有系统管理员、密码管理员、配置管理员、审计管理员、普通用户等多种角色。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系统提供身份认证，自然人（员工帐户）登录系统时支持静态口令、</w:t>
            </w:r>
            <w:r>
              <w:rPr>
                <w:rFonts w:ascii="宋体" w:hAnsi="宋体"/>
                <w:kern w:val="0"/>
                <w:sz w:val="18"/>
                <w:szCs w:val="18"/>
              </w:rPr>
              <w:t>Radius</w:t>
            </w:r>
            <w:r>
              <w:rPr>
                <w:rFonts w:hint="eastAsia" w:ascii="宋体" w:hAnsi="宋体"/>
                <w:kern w:val="0"/>
                <w:sz w:val="18"/>
                <w:szCs w:val="18"/>
              </w:rPr>
              <w:t>认证、</w:t>
            </w:r>
            <w:r>
              <w:rPr>
                <w:rFonts w:ascii="宋体" w:hAnsi="宋体"/>
                <w:kern w:val="0"/>
                <w:sz w:val="18"/>
                <w:szCs w:val="18"/>
              </w:rPr>
              <w:t>LDAP</w:t>
            </w:r>
            <w:r>
              <w:rPr>
                <w:rFonts w:hint="eastAsia" w:ascii="宋体" w:hAnsi="宋体"/>
                <w:kern w:val="0"/>
                <w:sz w:val="18"/>
                <w:szCs w:val="18"/>
              </w:rPr>
              <w:t>、</w:t>
            </w:r>
            <w:r>
              <w:rPr>
                <w:rFonts w:ascii="宋体" w:hAnsi="宋体"/>
                <w:kern w:val="0"/>
                <w:sz w:val="18"/>
                <w:szCs w:val="18"/>
              </w:rPr>
              <w:t>AD</w:t>
            </w:r>
            <w:r>
              <w:rPr>
                <w:rFonts w:hint="eastAsia" w:ascii="宋体" w:hAnsi="宋体"/>
                <w:kern w:val="0"/>
                <w:sz w:val="18"/>
                <w:szCs w:val="18"/>
              </w:rPr>
              <w:t>域、数字证书认证、动态令牌认证、USBKEY认证、指纹认证和Google手机动态令牌认证。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支持指纹认证：</w:t>
            </w:r>
          </w:p>
          <w:p>
            <w:pPr>
              <w:rPr>
                <w:rFonts w:ascii="宋体" w:hAnsi="宋体"/>
                <w:kern w:val="0"/>
                <w:sz w:val="18"/>
                <w:szCs w:val="18"/>
              </w:rPr>
            </w:pPr>
            <w:r>
              <w:rPr>
                <w:rFonts w:hint="eastAsia" w:ascii="宋体" w:hAnsi="宋体"/>
                <w:kern w:val="0"/>
                <w:sz w:val="18"/>
                <w:szCs w:val="18"/>
              </w:rPr>
              <w:t>至少支持三个厂商的指纹认证。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系统内置PKI证书认证功能，用户只需配置USB-KEY即可实现证书登陆认证，实现双因素认证（USB-KEY+PIN码）。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★系统内置动态令牌认证，用户不需要额外部署认证服务器，通过配置动态令牌实现双因素认证；同时可支持Google手机动态令牌认证（提供截图证明有效）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支持多因子认证自定义组合，可为不同用户组分配不同的认证策略，支持单因素，双因素和多因素的认证策略。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center"/>
          </w:tcPr>
          <w:p>
            <w:pPr>
              <w:widowControl/>
              <w:rPr>
                <w:rFonts w:ascii="宋体" w:hAnsi="宋体"/>
                <w:kern w:val="0"/>
                <w:sz w:val="18"/>
                <w:szCs w:val="18"/>
              </w:rPr>
            </w:pPr>
            <w:r>
              <w:rPr>
                <w:rFonts w:hint="eastAsia" w:ascii="宋体" w:hAnsi="宋体"/>
                <w:kern w:val="0"/>
                <w:sz w:val="18"/>
                <w:szCs w:val="18"/>
              </w:rPr>
              <w:t>支持以excel格式批量导入和导出用户帐号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用户帐号自动改密，可制定改密计划对用户帐号进行定期改密，并发送邮件通知用户。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★在线批量编辑，提供堡垒机用户的批量编辑功能，以方便用户管理员批量修改帐号属性及关联信息，包括用户状态、有效时间。(提供加盖原厂公章证明）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center"/>
          </w:tcPr>
          <w:p>
            <w:pPr>
              <w:widowControl/>
              <w:rPr>
                <w:rFonts w:ascii="宋体" w:hAnsi="宋体"/>
                <w:kern w:val="0"/>
                <w:sz w:val="18"/>
                <w:szCs w:val="18"/>
              </w:rPr>
            </w:pPr>
            <w:r>
              <w:rPr>
                <w:rFonts w:hint="eastAsia" w:ascii="宋体" w:hAnsi="宋体"/>
                <w:kern w:val="0"/>
                <w:sz w:val="18"/>
                <w:szCs w:val="18"/>
              </w:rPr>
              <w:t>支持从AD服务器批量导入用户帐号；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20" w:type="dxa"/>
            <w:vMerge w:val="restart"/>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10</w:t>
            </w:r>
          </w:p>
        </w:tc>
        <w:tc>
          <w:tcPr>
            <w:tcW w:w="1816" w:type="dxa"/>
            <w:vMerge w:val="restart"/>
            <w:noWrap w:val="0"/>
            <w:vAlign w:val="center"/>
          </w:tcPr>
          <w:p>
            <w:pPr>
              <w:spacing w:line="360" w:lineRule="auto"/>
              <w:rPr>
                <w:rFonts w:ascii="宋体" w:hAnsi="宋体"/>
                <w:kern w:val="0"/>
                <w:sz w:val="18"/>
                <w:szCs w:val="18"/>
              </w:rPr>
            </w:pPr>
            <w:r>
              <w:rPr>
                <w:rFonts w:hint="eastAsia" w:ascii="宋体" w:hAnsi="宋体"/>
                <w:kern w:val="0"/>
                <w:sz w:val="18"/>
                <w:szCs w:val="18"/>
              </w:rPr>
              <w:t>设备及账号密码管理</w:t>
            </w:r>
          </w:p>
        </w:tc>
        <w:tc>
          <w:tcPr>
            <w:tcW w:w="5859" w:type="dxa"/>
            <w:noWrap w:val="0"/>
            <w:vAlign w:val="center"/>
          </w:tcPr>
          <w:p>
            <w:pPr>
              <w:rPr>
                <w:rFonts w:ascii="宋体" w:hAnsi="宋体"/>
                <w:kern w:val="0"/>
                <w:sz w:val="18"/>
                <w:szCs w:val="18"/>
              </w:rPr>
            </w:pPr>
            <w:r>
              <w:rPr>
                <w:rFonts w:hint="eastAsia" w:ascii="宋体" w:hAnsi="宋体"/>
                <w:kern w:val="0"/>
                <w:sz w:val="18"/>
                <w:szCs w:val="18"/>
              </w:rPr>
              <w:t>支持批量导入导出运维用户、目标设备、账号密码等，支持目标设备账号批量新增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center"/>
          </w:tcPr>
          <w:p>
            <w:pPr>
              <w:rPr>
                <w:rFonts w:ascii="宋体" w:hAnsi="宋体"/>
                <w:kern w:val="0"/>
                <w:sz w:val="18"/>
                <w:szCs w:val="18"/>
              </w:rPr>
            </w:pPr>
            <w:r>
              <w:rPr>
                <w:rFonts w:hint="eastAsia" w:ascii="宋体" w:hAnsi="宋体"/>
                <w:kern w:val="0"/>
                <w:sz w:val="18"/>
                <w:szCs w:val="18"/>
              </w:rPr>
              <w:t>★支持在线批量设备帐号修改；支持设备帐号属性添加和修改，包括帐号密码、应用参数、帐号状态、改密脚本、特权帐号、应用端口、应用密码提示、帐号类型、帐号提示符、帐号同步。(提供截图证明有效）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center"/>
          </w:tcPr>
          <w:p>
            <w:pPr>
              <w:rPr>
                <w:rFonts w:ascii="宋体" w:hAnsi="宋体"/>
                <w:kern w:val="0"/>
                <w:sz w:val="18"/>
                <w:szCs w:val="18"/>
              </w:rPr>
            </w:pPr>
            <w:r>
              <w:rPr>
                <w:rFonts w:hint="eastAsia" w:ascii="宋体" w:hAnsi="宋体"/>
                <w:kern w:val="0"/>
                <w:sz w:val="18"/>
                <w:szCs w:val="18"/>
              </w:rPr>
              <w:t>通过</w:t>
            </w:r>
            <w:r>
              <w:rPr>
                <w:rFonts w:ascii="宋体" w:hAnsi="宋体"/>
                <w:kern w:val="0"/>
                <w:sz w:val="18"/>
                <w:szCs w:val="18"/>
              </w:rPr>
              <w:t>ssh-keygen</w:t>
            </w:r>
            <w:r>
              <w:rPr>
                <w:rFonts w:hint="eastAsia" w:ascii="宋体" w:hAnsi="宋体"/>
                <w:kern w:val="0"/>
                <w:sz w:val="18"/>
                <w:szCs w:val="18"/>
              </w:rPr>
              <w:t>产生公钥和私钥密码对，上传堡垒机，可实现免密码登录服务器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支持将目标设备资产的账号密码进行密函打印导出（提供截图证明有效）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支持linux、unix、网络设备、windows2000/2003/2008的自动改密功能；无需通过插件、引擎或特殊端口对目标设备进行自动改密，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hint="eastAsia" w:ascii="宋体" w:hAnsi="宋体"/>
                <w:kern w:val="0"/>
                <w:sz w:val="18"/>
                <w:szCs w:val="18"/>
              </w:rPr>
            </w:pPr>
            <w:r>
              <w:rPr>
                <w:rFonts w:hint="eastAsia" w:ascii="宋体" w:hAnsi="宋体"/>
                <w:kern w:val="0"/>
                <w:sz w:val="18"/>
                <w:szCs w:val="18"/>
              </w:rPr>
              <w:t>在系统完成密码修改之后，自动进行新密码登录测试，以便进一步校验密码修改结果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20" w:type="dxa"/>
            <w:vMerge w:val="restart"/>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11</w:t>
            </w:r>
          </w:p>
        </w:tc>
        <w:tc>
          <w:tcPr>
            <w:tcW w:w="1816" w:type="dxa"/>
            <w:vMerge w:val="restart"/>
            <w:noWrap w:val="0"/>
            <w:vAlign w:val="center"/>
          </w:tcPr>
          <w:p>
            <w:pPr>
              <w:spacing w:line="360" w:lineRule="auto"/>
              <w:jc w:val="center"/>
              <w:rPr>
                <w:rFonts w:ascii="宋体" w:hAnsi="宋体"/>
                <w:kern w:val="0"/>
                <w:sz w:val="18"/>
                <w:szCs w:val="18"/>
              </w:rPr>
            </w:pPr>
            <w:r>
              <w:rPr>
                <w:rFonts w:hint="eastAsia" w:ascii="宋体" w:hAnsi="宋体"/>
                <w:kern w:val="0"/>
                <w:sz w:val="18"/>
                <w:szCs w:val="18"/>
              </w:rPr>
              <w:t>权限管理</w:t>
            </w:r>
          </w:p>
        </w:tc>
        <w:tc>
          <w:tcPr>
            <w:tcW w:w="5859" w:type="dxa"/>
            <w:noWrap w:val="0"/>
            <w:vAlign w:val="top"/>
          </w:tcPr>
          <w:p>
            <w:pPr>
              <w:rPr>
                <w:rFonts w:ascii="宋体" w:hAnsi="宋体"/>
                <w:kern w:val="0"/>
                <w:sz w:val="18"/>
                <w:szCs w:val="18"/>
              </w:rPr>
            </w:pPr>
            <w:r>
              <w:rPr>
                <w:rFonts w:hint="eastAsia" w:ascii="宋体" w:hAnsi="宋体"/>
                <w:kern w:val="0"/>
                <w:sz w:val="18"/>
                <w:szCs w:val="18"/>
              </w:rPr>
              <w:t>★支持系统管理员按部门进行分权管理，各部门系统管理员只能管理和授权本部门管辖内的设备资源；支持审计管理员分权管理，只能审计被授权的设备。（提供截图证明有效）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系统提供访问控制功能，支持对系统的用户登录进行可配置的策略设置，根据策略因子：用户或用户组、日期、每月、每周、时间、源地址、目标地址、目标端口、目标账号、动作(接受、拒绝)来定制访问策略对用户或用户组行为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提供禁审功能，可对部分设定的控制策略的会话不审计录像，防止机密信息二次泄露；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系统可以对字符操作的命令进行控制，通过制定命令黑白名单实现对命令的有效管理，可以对命令集合进行告警或者自动阻断，支持正则表达式匹配。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20" w:type="dxa"/>
            <w:vMerge w:val="continue"/>
            <w:noWrap w:val="0"/>
            <w:vAlign w:val="top"/>
          </w:tcPr>
          <w:p>
            <w:pPr>
              <w:spacing w:line="360" w:lineRule="auto"/>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默认规定用户登录后，只能在其目录下进行操作，不能随意跳转至其他目录进行操作，也可通过开关打开限制（提供加盖原厂公章的截图证明）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restart"/>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12</w:t>
            </w:r>
          </w:p>
        </w:tc>
        <w:tc>
          <w:tcPr>
            <w:tcW w:w="1816" w:type="dxa"/>
            <w:vMerge w:val="restart"/>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日志审计</w:t>
            </w:r>
          </w:p>
        </w:tc>
        <w:tc>
          <w:tcPr>
            <w:tcW w:w="5859" w:type="dxa"/>
            <w:noWrap w:val="0"/>
            <w:vAlign w:val="top"/>
          </w:tcPr>
          <w:p>
            <w:pPr>
              <w:rPr>
                <w:rFonts w:ascii="宋体" w:hAnsi="宋体"/>
                <w:kern w:val="0"/>
                <w:sz w:val="18"/>
                <w:szCs w:val="18"/>
              </w:rPr>
            </w:pPr>
            <w:r>
              <w:rPr>
                <w:rFonts w:hint="eastAsia" w:ascii="宋体" w:hAnsi="宋体"/>
                <w:kern w:val="0"/>
                <w:sz w:val="18"/>
                <w:szCs w:val="18"/>
              </w:rPr>
              <w:t>支持命令记录：字符终端命令记录、图形终端键盘操作记录、数据库运维SQL命令、图形标题栏识别（OCR）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字符终端命令记录：用户可以从任意命令开始查看本命令输出结果或播放；命令分析功能将输入命令和输出结果的智能分离，可以只查看字符命令，也可以显示该命令的返回结果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图形终端键盘操作记录：支持图形终端键盘操作记录，完整记录键盘动作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★数据库运维SQL命令：系统应具备审计到详细的SQL语句，而非键盘符指令，并要求记录到SQL语句的执行时间（提供截图证明有效）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★图形标题栏识别（OCR）：系统应具备对图形运维中的标题名进行智能提取，并可以从任意一个标题名开始回放。可支持中英文操作系统的标题栏体系。（提供截图证明有效）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WEB在线回放完整会话；字符终端操作会话支持倍速播放；图形操作会话支持拖拉定位播放；支持暂停、停止、重新播放等播放控制操作。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审计录像采用数据流回放技术，空闲操作（无屏幕变化）日志无增长，节省了日志空间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系统应具备审计到FTP/SFTP传输的原始文件，并可以在审计系统上进行备份并下载查看其具体内容。对</w:t>
            </w:r>
            <w:r>
              <w:rPr>
                <w:rFonts w:ascii="宋体" w:hAnsi="宋体"/>
                <w:kern w:val="0"/>
                <w:sz w:val="18"/>
                <w:szCs w:val="18"/>
              </w:rPr>
              <w:t>大于一定大小的FTP/SFTP运维审计中的文件可进行异地转储</w:t>
            </w:r>
            <w:r>
              <w:rPr>
                <w:rFonts w:hint="eastAsia" w:ascii="宋体" w:hAnsi="宋体"/>
                <w:kern w:val="0"/>
                <w:sz w:val="18"/>
                <w:szCs w:val="18"/>
              </w:rPr>
              <w:t>，并可记录文件md</w:t>
            </w:r>
            <w:r>
              <w:rPr>
                <w:rFonts w:ascii="宋体" w:hAnsi="宋体"/>
                <w:kern w:val="0"/>
                <w:sz w:val="18"/>
                <w:szCs w:val="18"/>
              </w:rPr>
              <w:t>5值，保障文件的完整性和有效性。</w:t>
            </w:r>
            <w:r>
              <w:rPr>
                <w:rFonts w:hint="eastAsia" w:ascii="宋体" w:hAnsi="宋体"/>
                <w:kern w:val="0"/>
                <w:sz w:val="18"/>
                <w:szCs w:val="18"/>
              </w:rPr>
              <w:t>支持人工开关自由选择是否备份原文件。（提供加盖原厂公章证明）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提供搜索功能，可组合目标主机地址、登录地址、堡垒机用户、远程账号、时间、键盘输入的命令、标题栏等条件进行搜索，快速定位会话记录；搜索条件“用户命令”支持“或”和“与”逻辑关系。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字符运维命令返回值搜索和屏幕导出，支持搜索命令的返回值信息，并支持将屏幕信息导出为文本。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restart"/>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13</w:t>
            </w:r>
          </w:p>
        </w:tc>
        <w:tc>
          <w:tcPr>
            <w:tcW w:w="1816" w:type="dxa"/>
            <w:vMerge w:val="restart"/>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告警模块</w:t>
            </w:r>
          </w:p>
        </w:tc>
        <w:tc>
          <w:tcPr>
            <w:tcW w:w="5859" w:type="dxa"/>
            <w:noWrap w:val="0"/>
            <w:vAlign w:val="center"/>
          </w:tcPr>
          <w:p>
            <w:pPr>
              <w:rPr>
                <w:rFonts w:ascii="宋体" w:hAnsi="宋体"/>
                <w:kern w:val="0"/>
                <w:sz w:val="18"/>
                <w:szCs w:val="18"/>
              </w:rPr>
            </w:pPr>
            <w:r>
              <w:rPr>
                <w:rFonts w:hint="eastAsia" w:ascii="宋体" w:hAnsi="宋体"/>
                <w:kern w:val="0"/>
                <w:sz w:val="18"/>
                <w:szCs w:val="18"/>
              </w:rPr>
              <w:t>支持RDP会话针对操作行为告警（针对标题栏进行告警），可进行告警内容设置。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center"/>
          </w:tcPr>
          <w:p>
            <w:pPr>
              <w:rPr>
                <w:rFonts w:ascii="宋体" w:hAnsi="宋体"/>
                <w:kern w:val="0"/>
                <w:sz w:val="18"/>
                <w:szCs w:val="18"/>
              </w:rPr>
            </w:pPr>
            <w:r>
              <w:rPr>
                <w:rFonts w:hint="eastAsia" w:ascii="宋体" w:hAnsi="宋体"/>
                <w:kern w:val="0"/>
                <w:sz w:val="18"/>
                <w:szCs w:val="18"/>
              </w:rPr>
              <w:t>支持数据库应用针对操作命令进行告警，可进行告警内容设置（告警内容支持动作，表名等）。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restart"/>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14</w:t>
            </w:r>
          </w:p>
        </w:tc>
        <w:tc>
          <w:tcPr>
            <w:tcW w:w="1816" w:type="dxa"/>
            <w:vMerge w:val="restart"/>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数据管理</w:t>
            </w:r>
          </w:p>
        </w:tc>
        <w:tc>
          <w:tcPr>
            <w:tcW w:w="5859" w:type="dxa"/>
            <w:noWrap w:val="0"/>
            <w:vAlign w:val="top"/>
          </w:tcPr>
          <w:p>
            <w:pPr>
              <w:rPr>
                <w:rFonts w:ascii="宋体" w:hAnsi="宋体"/>
                <w:kern w:val="0"/>
                <w:sz w:val="18"/>
                <w:szCs w:val="18"/>
              </w:rPr>
            </w:pPr>
            <w:r>
              <w:rPr>
                <w:rFonts w:hint="eastAsia" w:ascii="宋体" w:hAnsi="宋体"/>
                <w:kern w:val="0"/>
                <w:sz w:val="18"/>
                <w:szCs w:val="18"/>
              </w:rPr>
              <w:t>存储告警：日志存储超过设置的阀值进行邮件告警，支持定期删除计划，只保留设置时间段的日志。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支持通过FTP和SFTP进行系统配置备份和还原，支持FTP和SFTP和本地方式进行审计日志的备份，系统配置和审计日志均可可自定义备份计划。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spacing w:line="360" w:lineRule="auto"/>
              <w:jc w:val="center"/>
              <w:rPr>
                <w:rFonts w:hint="eastAsia" w:ascii="宋体" w:hAnsi="宋体"/>
                <w:kern w:val="0"/>
                <w:sz w:val="18"/>
                <w:szCs w:val="18"/>
              </w:rPr>
            </w:pPr>
          </w:p>
        </w:tc>
        <w:tc>
          <w:tcPr>
            <w:tcW w:w="1816" w:type="dxa"/>
            <w:vMerge w:val="continue"/>
            <w:noWrap w:val="0"/>
            <w:vAlign w:val="center"/>
          </w:tcPr>
          <w:p>
            <w:pPr>
              <w:spacing w:line="360" w:lineRule="auto"/>
              <w:rPr>
                <w:rFonts w:hint="eastAsia" w:ascii="宋体" w:hAnsi="宋体"/>
                <w:kern w:val="0"/>
                <w:sz w:val="18"/>
                <w:szCs w:val="18"/>
              </w:rPr>
            </w:pPr>
          </w:p>
        </w:tc>
        <w:tc>
          <w:tcPr>
            <w:tcW w:w="5859" w:type="dxa"/>
            <w:noWrap w:val="0"/>
            <w:vAlign w:val="top"/>
          </w:tcPr>
          <w:p>
            <w:pPr>
              <w:rPr>
                <w:rFonts w:ascii="宋体" w:hAnsi="宋体"/>
                <w:kern w:val="0"/>
                <w:sz w:val="18"/>
                <w:szCs w:val="18"/>
              </w:rPr>
            </w:pPr>
            <w:r>
              <w:rPr>
                <w:rFonts w:hint="eastAsia" w:ascii="宋体" w:hAnsi="宋体"/>
                <w:kern w:val="0"/>
                <w:sz w:val="18"/>
                <w:szCs w:val="18"/>
              </w:rPr>
              <w:t>导出日志可以使用离线播放器进行日志查看和日志检索，包括命令、录像、标题栏内容等。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0" w:type="dxa"/>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15</w:t>
            </w:r>
          </w:p>
        </w:tc>
        <w:tc>
          <w:tcPr>
            <w:tcW w:w="1816" w:type="dxa"/>
            <w:noWrap w:val="0"/>
            <w:vAlign w:val="center"/>
          </w:tcPr>
          <w:p>
            <w:pPr>
              <w:spacing w:line="360" w:lineRule="auto"/>
              <w:jc w:val="center"/>
              <w:rPr>
                <w:rFonts w:ascii="宋体" w:hAnsi="宋体"/>
                <w:kern w:val="0"/>
                <w:sz w:val="18"/>
                <w:szCs w:val="18"/>
              </w:rPr>
            </w:pPr>
            <w:r>
              <w:rPr>
                <w:rFonts w:hint="eastAsia" w:ascii="宋体" w:hAnsi="宋体"/>
                <w:kern w:val="0"/>
                <w:sz w:val="18"/>
                <w:szCs w:val="18"/>
              </w:rPr>
              <w:t>统计报表</w:t>
            </w:r>
          </w:p>
        </w:tc>
        <w:tc>
          <w:tcPr>
            <w:tcW w:w="5859" w:type="dxa"/>
            <w:noWrap w:val="0"/>
            <w:vAlign w:val="center"/>
          </w:tcPr>
          <w:p>
            <w:pPr>
              <w:rPr>
                <w:rFonts w:ascii="宋体" w:hAnsi="宋体"/>
                <w:kern w:val="0"/>
                <w:sz w:val="18"/>
                <w:szCs w:val="18"/>
              </w:rPr>
            </w:pPr>
            <w:r>
              <w:rPr>
                <w:rFonts w:hint="eastAsia" w:ascii="宋体" w:hAnsi="宋体"/>
                <w:kern w:val="0"/>
                <w:sz w:val="18"/>
                <w:szCs w:val="18"/>
              </w:rPr>
              <w:t>系统应具备在对系统制定报表任务时，可以配置时间周期，支持以图(柱、饼等)，统计、明细数据的方式表现。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0" w:type="dxa"/>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16</w:t>
            </w:r>
          </w:p>
        </w:tc>
        <w:tc>
          <w:tcPr>
            <w:tcW w:w="1816" w:type="dxa"/>
            <w:noWrap w:val="0"/>
            <w:vAlign w:val="center"/>
          </w:tcPr>
          <w:p>
            <w:pPr>
              <w:jc w:val="center"/>
              <w:rPr>
                <w:rFonts w:hint="eastAsia" w:ascii="宋体" w:hAnsi="宋体"/>
                <w:kern w:val="0"/>
                <w:sz w:val="18"/>
                <w:szCs w:val="18"/>
              </w:rPr>
            </w:pPr>
            <w:r>
              <w:rPr>
                <w:rFonts w:hint="eastAsia" w:ascii="宋体" w:hAnsi="宋体"/>
                <w:kern w:val="0"/>
                <w:sz w:val="18"/>
                <w:szCs w:val="18"/>
              </w:rPr>
              <w:t>★产品自身安全性</w:t>
            </w:r>
          </w:p>
        </w:tc>
        <w:tc>
          <w:tcPr>
            <w:tcW w:w="5859" w:type="dxa"/>
            <w:noWrap w:val="0"/>
            <w:vAlign w:val="center"/>
          </w:tcPr>
          <w:p>
            <w:pPr>
              <w:rPr>
                <w:rFonts w:hint="eastAsia" w:ascii="宋体" w:hAnsi="宋体"/>
                <w:kern w:val="0"/>
                <w:sz w:val="18"/>
                <w:szCs w:val="18"/>
              </w:rPr>
            </w:pPr>
            <w:r>
              <w:rPr>
                <w:rFonts w:hint="eastAsia" w:ascii="宋体" w:hAnsi="宋体"/>
                <w:kern w:val="0"/>
                <w:sz w:val="18"/>
                <w:szCs w:val="18"/>
              </w:rPr>
              <w:t>产品自身安全性：所投产品近一年内在CNVD上披露的高危漏洞不高于5条，否则不具备投标资格；（提供官网证明截图）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0" w:type="dxa"/>
            <w:noWrap w:val="0"/>
            <w:vAlign w:val="center"/>
          </w:tcPr>
          <w:p>
            <w:pPr>
              <w:spacing w:line="360" w:lineRule="auto"/>
              <w:jc w:val="center"/>
              <w:rPr>
                <w:rFonts w:hint="eastAsia" w:ascii="宋体" w:hAnsi="宋体"/>
                <w:kern w:val="0"/>
                <w:sz w:val="18"/>
                <w:szCs w:val="18"/>
              </w:rPr>
            </w:pPr>
            <w:r>
              <w:rPr>
                <w:rFonts w:hint="eastAsia" w:ascii="宋体" w:hAnsi="宋体"/>
                <w:kern w:val="0"/>
                <w:sz w:val="18"/>
                <w:szCs w:val="18"/>
              </w:rPr>
              <w:t>17</w:t>
            </w:r>
          </w:p>
        </w:tc>
        <w:tc>
          <w:tcPr>
            <w:tcW w:w="1816" w:type="dxa"/>
            <w:noWrap w:val="0"/>
            <w:vAlign w:val="center"/>
          </w:tcPr>
          <w:p>
            <w:pPr>
              <w:rPr>
                <w:rFonts w:hint="eastAsia" w:ascii="宋体" w:hAnsi="宋体"/>
                <w:kern w:val="0"/>
                <w:sz w:val="18"/>
                <w:szCs w:val="18"/>
              </w:rPr>
            </w:pPr>
            <w:r>
              <w:rPr>
                <w:rFonts w:hint="eastAsia" w:ascii="宋体" w:hAnsi="宋体"/>
                <w:kern w:val="0"/>
                <w:sz w:val="18"/>
                <w:szCs w:val="18"/>
              </w:rPr>
              <w:t>★</w:t>
            </w:r>
            <w:r>
              <w:rPr>
                <w:rFonts w:hint="eastAsia"/>
                <w:kern w:val="0"/>
                <w:sz w:val="18"/>
                <w:szCs w:val="18"/>
              </w:rPr>
              <w:t>单点</w:t>
            </w:r>
            <w:r>
              <w:rPr>
                <w:kern w:val="0"/>
                <w:sz w:val="18"/>
                <w:szCs w:val="18"/>
              </w:rPr>
              <w:t>登录</w:t>
            </w:r>
            <w:r>
              <w:rPr>
                <w:rFonts w:hint="eastAsia"/>
                <w:kern w:val="0"/>
                <w:sz w:val="18"/>
                <w:szCs w:val="18"/>
              </w:rPr>
              <w:t>访问</w:t>
            </w:r>
          </w:p>
        </w:tc>
        <w:tc>
          <w:tcPr>
            <w:tcW w:w="5859" w:type="dxa"/>
            <w:noWrap w:val="0"/>
            <w:vAlign w:val="center"/>
          </w:tcPr>
          <w:p>
            <w:pPr>
              <w:pStyle w:val="16"/>
              <w:ind w:firstLine="0" w:firstLineChars="0"/>
              <w:jc w:val="left"/>
              <w:rPr>
                <w:rFonts w:hint="eastAsia" w:ascii="宋体" w:hAnsi="宋体"/>
                <w:kern w:val="0"/>
                <w:sz w:val="18"/>
                <w:szCs w:val="18"/>
              </w:rPr>
            </w:pPr>
            <w:r>
              <w:rPr>
                <w:rFonts w:hint="eastAsia"/>
                <w:kern w:val="0"/>
                <w:sz w:val="18"/>
                <w:szCs w:val="18"/>
              </w:rPr>
              <w:t>具备</w:t>
            </w:r>
            <w:r>
              <w:rPr>
                <w:kern w:val="0"/>
                <w:sz w:val="18"/>
                <w:szCs w:val="18"/>
              </w:rPr>
              <w:t>相关</w:t>
            </w:r>
            <w:r>
              <w:rPr>
                <w:rFonts w:hint="eastAsia"/>
                <w:kern w:val="0"/>
                <w:sz w:val="18"/>
                <w:szCs w:val="18"/>
              </w:rPr>
              <w:t>单点</w:t>
            </w:r>
            <w:r>
              <w:rPr>
                <w:kern w:val="0"/>
                <w:sz w:val="18"/>
                <w:szCs w:val="18"/>
              </w:rPr>
              <w:t>登录</w:t>
            </w:r>
            <w:r>
              <w:rPr>
                <w:rFonts w:hint="eastAsia"/>
                <w:kern w:val="0"/>
                <w:sz w:val="18"/>
                <w:szCs w:val="18"/>
              </w:rPr>
              <w:t>访问</w:t>
            </w:r>
            <w:r>
              <w:rPr>
                <w:kern w:val="0"/>
                <w:sz w:val="18"/>
                <w:szCs w:val="18"/>
              </w:rPr>
              <w:t>系统</w:t>
            </w:r>
            <w:r>
              <w:rPr>
                <w:rFonts w:hint="eastAsia"/>
                <w:kern w:val="0"/>
                <w:sz w:val="18"/>
                <w:szCs w:val="18"/>
              </w:rPr>
              <w:t>功能。</w:t>
            </w:r>
            <w:r>
              <w:rPr>
                <w:kern w:val="0"/>
                <w:sz w:val="18"/>
                <w:szCs w:val="18"/>
              </w:rPr>
              <w:t>提供相关证明材料</w:t>
            </w:r>
            <w:r>
              <w:rPr>
                <w:rFonts w:hint="eastAsia"/>
                <w:kern w:val="0"/>
                <w:sz w:val="18"/>
                <w:szCs w:val="18"/>
              </w:rPr>
              <w:t>（提供证书复印件，并加盖公章）</w:t>
            </w:r>
          </w:p>
        </w:tc>
      </w:tr>
    </w:tbl>
    <w:p>
      <w:pPr>
        <w:widowControl/>
        <w:adjustRightInd w:val="0"/>
        <w:snapToGrid w:val="0"/>
        <w:spacing w:line="360" w:lineRule="auto"/>
        <w:jc w:val="left"/>
        <w:rPr>
          <w:rFonts w:hint="eastAsia"/>
          <w:b/>
          <w:sz w:val="24"/>
        </w:rPr>
      </w:pPr>
    </w:p>
    <w:p>
      <w:pPr>
        <w:numPr>
          <w:ilvl w:val="0"/>
          <w:numId w:val="3"/>
        </w:numPr>
        <w:spacing w:line="360" w:lineRule="auto"/>
        <w:rPr>
          <w:rFonts w:hint="eastAsia" w:ascii="宋体" w:hAnsi="宋体"/>
          <w:b/>
          <w:bCs/>
          <w:sz w:val="24"/>
        </w:rPr>
      </w:pPr>
      <w:r>
        <w:rPr>
          <w:rFonts w:hint="eastAsia" w:ascii="宋体" w:hAnsi="宋体"/>
          <w:b/>
          <w:bCs/>
          <w:sz w:val="24"/>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8890</wp:posOffset>
                </wp:positionV>
                <wp:extent cx="342900" cy="424180"/>
                <wp:effectExtent l="0" t="0" r="0" b="13970"/>
                <wp:wrapNone/>
                <wp:docPr id="6" name="文本框 6"/>
                <wp:cNvGraphicFramePr/>
                <a:graphic xmlns:a="http://schemas.openxmlformats.org/drawingml/2006/main">
                  <a:graphicData uri="http://schemas.microsoft.com/office/word/2010/wordprocessingShape">
                    <wps:wsp>
                      <wps:cNvSpPr txBox="1"/>
                      <wps:spPr>
                        <a:xfrm>
                          <a:off x="0" y="0"/>
                          <a:ext cx="342900" cy="424180"/>
                        </a:xfrm>
                        <a:prstGeom prst="rect">
                          <a:avLst/>
                        </a:prstGeom>
                        <a:solidFill>
                          <a:srgbClr val="FFFFFF"/>
                        </a:solidFill>
                        <a:ln>
                          <a:noFill/>
                        </a:ln>
                      </wps:spPr>
                      <wps:txbx>
                        <w:txbxContent>
                          <w:p>
                            <w:pPr>
                              <w:rPr>
                                <w:sz w:val="24"/>
                              </w:rPr>
                            </w:pPr>
                            <w:r>
                              <w:rPr>
                                <w:rFonts w:hint="eastAsia" w:ascii="宋体" w:hAnsi="宋体" w:cs="宋体"/>
                                <w:kern w:val="0"/>
                                <w:sz w:val="24"/>
                              </w:rPr>
                              <w:t>★</w:t>
                            </w:r>
                          </w:p>
                        </w:txbxContent>
                      </wps:txbx>
                      <wps:bodyPr upright="1"/>
                    </wps:wsp>
                  </a:graphicData>
                </a:graphic>
              </wp:anchor>
            </w:drawing>
          </mc:Choice>
          <mc:Fallback>
            <w:pict>
              <v:shape id="_x0000_s1026" o:spid="_x0000_s1026" o:spt="202" type="#_x0000_t202" style="position:absolute;left:0pt;margin-left:-27pt;margin-top:0.7pt;height:33.4pt;width:27pt;z-index:251659264;mso-width-relative:page;mso-height-relative:page;" fillcolor="#FFFFFF" filled="t" stroked="f" coordsize="21600,21600" o:gfxdata="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RSxPNMAAAAFAQAADwAAAAAAAAABACAAAAAiAAAAZHJzL2Rvd25yZXYueG1sUEsB&#10;AhQAFAAAAAgAh07iQDHM1kzBAQAAdgMAAA4AAAAAAAAAAQAgAAAAIgEAAGRycy9lMm9Eb2MueG1s&#10;UEsFBgAAAAAGAAYAWQEAAFUFAAAAAA==&#10;">
                <v:fill on="t" focussize="0,0"/>
                <v:stroke on="f"/>
                <v:imagedata o:title=""/>
                <o:lock v:ext="edit" aspectratio="f"/>
                <v:textbox>
                  <w:txbxContent>
                    <w:p>
                      <w:pPr>
                        <w:rPr>
                          <w:sz w:val="24"/>
                        </w:rPr>
                      </w:pPr>
                      <w:r>
                        <w:rPr>
                          <w:rFonts w:hint="eastAsia" w:ascii="宋体" w:hAnsi="宋体" w:cs="宋体"/>
                          <w:kern w:val="0"/>
                          <w:sz w:val="24"/>
                        </w:rPr>
                        <w:t>★</w:t>
                      </w:r>
                    </w:p>
                  </w:txbxContent>
                </v:textbox>
              </v:shape>
            </w:pict>
          </mc:Fallback>
        </mc:AlternateContent>
      </w:r>
      <w:r>
        <w:rPr>
          <w:rFonts w:hint="eastAsia" w:ascii="宋体" w:hAnsi="宋体"/>
          <w:b/>
          <w:bCs/>
          <w:sz w:val="24"/>
        </w:rPr>
        <w:t>商务要求</w:t>
      </w:r>
    </w:p>
    <w:p>
      <w:pPr>
        <w:numPr>
          <w:ilvl w:val="1"/>
          <w:numId w:val="4"/>
        </w:numPr>
        <w:spacing w:line="360" w:lineRule="auto"/>
        <w:rPr>
          <w:rFonts w:hint="eastAsia"/>
          <w:kern w:val="0"/>
          <w:sz w:val="24"/>
        </w:rPr>
      </w:pPr>
      <w:r>
        <w:rPr>
          <w:rFonts w:hint="eastAsia"/>
          <w:kern w:val="0"/>
          <w:sz w:val="24"/>
        </w:rPr>
        <w:t xml:space="preserve"> </w:t>
      </w:r>
      <w:r>
        <w:rPr>
          <w:rFonts w:hint="eastAsia"/>
          <w:sz w:val="24"/>
        </w:rPr>
        <w:t>提供原厂授权书及质保函</w:t>
      </w:r>
    </w:p>
    <w:p>
      <w:pPr>
        <w:numPr>
          <w:ilvl w:val="1"/>
          <w:numId w:val="4"/>
        </w:numPr>
        <w:spacing w:line="360" w:lineRule="auto"/>
        <w:rPr>
          <w:rFonts w:hint="eastAsia"/>
          <w:kern w:val="0"/>
          <w:sz w:val="24"/>
        </w:rPr>
      </w:pPr>
      <w:r>
        <w:rPr>
          <w:rFonts w:hint="eastAsia"/>
          <w:b/>
          <w:sz w:val="24"/>
        </w:rPr>
        <w:t xml:space="preserve"> </w:t>
      </w:r>
      <w:r>
        <w:rPr>
          <w:kern w:val="0"/>
          <w:sz w:val="24"/>
        </w:rPr>
        <w:t>上门安装服务。</w:t>
      </w:r>
    </w:p>
    <w:p>
      <w:pPr>
        <w:numPr>
          <w:ilvl w:val="1"/>
          <w:numId w:val="4"/>
        </w:numPr>
        <w:tabs>
          <w:tab w:val="clear" w:pos="360"/>
        </w:tabs>
        <w:spacing w:line="360" w:lineRule="auto"/>
        <w:rPr>
          <w:rFonts w:hint="eastAsia"/>
          <w:kern w:val="0"/>
          <w:sz w:val="24"/>
        </w:rPr>
      </w:pPr>
      <w:r>
        <w:rPr>
          <w:rFonts w:hint="eastAsia"/>
          <w:kern w:val="0"/>
          <w:sz w:val="24"/>
        </w:rPr>
        <w:t xml:space="preserve"> </w:t>
      </w:r>
      <w:r>
        <w:rPr>
          <w:kern w:val="0"/>
          <w:sz w:val="24"/>
        </w:rPr>
        <w:t>三年原厂商服务</w:t>
      </w:r>
      <w:r>
        <w:rPr>
          <w:rFonts w:hint="eastAsia"/>
          <w:kern w:val="0"/>
          <w:sz w:val="24"/>
        </w:rPr>
        <w:t>；</w:t>
      </w:r>
      <w:r>
        <w:rPr>
          <w:rFonts w:hint="eastAsia" w:ascii="宋体" w:hAnsi="宋体"/>
          <w:sz w:val="24"/>
        </w:rPr>
        <w:t>三年免费硬件保修、软件版本升级</w:t>
      </w:r>
    </w:p>
    <w:p>
      <w:pPr>
        <w:numPr>
          <w:ilvl w:val="1"/>
          <w:numId w:val="4"/>
        </w:numPr>
        <w:tabs>
          <w:tab w:val="clear" w:pos="360"/>
        </w:tabs>
        <w:spacing w:line="360" w:lineRule="auto"/>
        <w:rPr>
          <w:rFonts w:hint="eastAsia"/>
          <w:kern w:val="0"/>
          <w:sz w:val="24"/>
        </w:rPr>
      </w:pPr>
      <w:r>
        <w:rPr>
          <w:rFonts w:hint="eastAsia"/>
          <w:kern w:val="0"/>
          <w:sz w:val="24"/>
        </w:rPr>
        <w:t xml:space="preserve"> 提供</w:t>
      </w:r>
      <w:r>
        <w:rPr>
          <w:rFonts w:hint="eastAsia" w:ascii="宋体" w:hAnsi="宋体"/>
          <w:kern w:val="0"/>
          <w:sz w:val="24"/>
        </w:rPr>
        <w:t>现场产品使用培训</w:t>
      </w:r>
    </w:p>
    <w:p>
      <w:pPr>
        <w:spacing w:line="360" w:lineRule="auto"/>
        <w:rPr>
          <w:rFonts w:hint="eastAsia"/>
          <w:kern w:val="0"/>
          <w:sz w:val="24"/>
        </w:rPr>
      </w:pPr>
      <w:r>
        <w:rPr>
          <w:rFonts w:hint="eastAsia"/>
          <w:kern w:val="0"/>
          <w:sz w:val="24"/>
        </w:rPr>
        <w:t xml:space="preserve"> </w:t>
      </w:r>
    </w:p>
    <w:p>
      <w:pPr>
        <w:numPr>
          <w:ilvl w:val="0"/>
          <w:numId w:val="3"/>
        </w:numPr>
        <w:spacing w:line="360" w:lineRule="auto"/>
        <w:rPr>
          <w:rFonts w:hint="eastAsia" w:ascii="宋体" w:hAnsi="宋体"/>
          <w:b/>
          <w:bCs/>
          <w:sz w:val="24"/>
        </w:rPr>
      </w:pPr>
      <w:r>
        <w:rPr>
          <w:rFonts w:hint="eastAsia" w:ascii="宋体" w:hAnsi="宋体"/>
          <w:b/>
          <w:color w:val="000000"/>
          <w:sz w:val="24"/>
        </w:rPr>
        <w:t>项目清单</w:t>
      </w:r>
    </w:p>
    <w:tbl>
      <w:tblPr>
        <w:tblStyle w:val="12"/>
        <w:tblW w:w="0" w:type="auto"/>
        <w:jc w:val="center"/>
        <w:tblLayout w:type="fixed"/>
        <w:tblCellMar>
          <w:top w:w="0" w:type="dxa"/>
          <w:left w:w="30" w:type="dxa"/>
          <w:bottom w:w="0" w:type="dxa"/>
          <w:right w:w="30" w:type="dxa"/>
        </w:tblCellMar>
      </w:tblPr>
      <w:tblGrid>
        <w:gridCol w:w="471"/>
        <w:gridCol w:w="3489"/>
        <w:gridCol w:w="2760"/>
        <w:gridCol w:w="642"/>
        <w:gridCol w:w="960"/>
      </w:tblGrid>
      <w:tr>
        <w:tblPrEx>
          <w:tblCellMar>
            <w:top w:w="0" w:type="dxa"/>
            <w:left w:w="30" w:type="dxa"/>
            <w:bottom w:w="0" w:type="dxa"/>
            <w:right w:w="30" w:type="dxa"/>
          </w:tblCellMar>
        </w:tblPrEx>
        <w:trPr>
          <w:trHeight w:val="247" w:hRule="atLeast"/>
          <w:jc w:val="center"/>
        </w:trPr>
        <w:tc>
          <w:tcPr>
            <w:tcW w:w="47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0"/>
                <w:szCs w:val="20"/>
              </w:rPr>
            </w:pPr>
            <w:r>
              <w:rPr>
                <w:rFonts w:hint="eastAsia" w:ascii="宋体" w:hAnsi="Arial" w:cs="宋体"/>
                <w:b/>
                <w:color w:val="000000"/>
                <w:kern w:val="0"/>
                <w:sz w:val="20"/>
                <w:szCs w:val="20"/>
              </w:rPr>
              <w:t>序号</w:t>
            </w:r>
          </w:p>
        </w:tc>
        <w:tc>
          <w:tcPr>
            <w:tcW w:w="348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0"/>
                <w:szCs w:val="20"/>
              </w:rPr>
            </w:pPr>
            <w:r>
              <w:rPr>
                <w:rFonts w:hint="eastAsia" w:ascii="宋体" w:hAnsi="Arial" w:cs="宋体"/>
                <w:b/>
                <w:color w:val="000000"/>
                <w:kern w:val="0"/>
                <w:sz w:val="20"/>
                <w:szCs w:val="20"/>
              </w:rPr>
              <w:t>名称</w:t>
            </w:r>
          </w:p>
        </w:tc>
        <w:tc>
          <w:tcPr>
            <w:tcW w:w="27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0"/>
                <w:szCs w:val="20"/>
              </w:rPr>
            </w:pPr>
            <w:r>
              <w:rPr>
                <w:rFonts w:hint="eastAsia" w:ascii="宋体" w:hAnsi="Arial" w:cs="宋体"/>
                <w:b/>
                <w:color w:val="000000"/>
                <w:kern w:val="0"/>
                <w:sz w:val="20"/>
                <w:szCs w:val="20"/>
              </w:rPr>
              <w:t>技术要求</w:t>
            </w: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0"/>
                <w:szCs w:val="20"/>
              </w:rPr>
            </w:pPr>
            <w:r>
              <w:rPr>
                <w:rFonts w:hint="eastAsia" w:ascii="宋体" w:hAnsi="Arial" w:cs="宋体"/>
                <w:b/>
                <w:color w:val="000000"/>
                <w:kern w:val="0"/>
                <w:sz w:val="20"/>
                <w:szCs w:val="20"/>
              </w:rPr>
              <w:t>数量</w:t>
            </w:r>
          </w:p>
        </w:tc>
        <w:tc>
          <w:tcPr>
            <w:tcW w:w="9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Arial" w:cs="宋体"/>
                <w:b/>
                <w:color w:val="000000"/>
                <w:kern w:val="0"/>
                <w:sz w:val="20"/>
                <w:szCs w:val="20"/>
              </w:rPr>
            </w:pPr>
            <w:r>
              <w:rPr>
                <w:rFonts w:hint="eastAsia" w:ascii="宋体" w:hAnsi="Arial" w:cs="宋体"/>
                <w:b/>
                <w:color w:val="000000"/>
                <w:kern w:val="0"/>
                <w:sz w:val="20"/>
                <w:szCs w:val="20"/>
              </w:rPr>
              <w:t>备注</w:t>
            </w:r>
          </w:p>
        </w:tc>
      </w:tr>
      <w:tr>
        <w:tblPrEx>
          <w:tblCellMar>
            <w:top w:w="0" w:type="dxa"/>
            <w:left w:w="30" w:type="dxa"/>
            <w:bottom w:w="0" w:type="dxa"/>
            <w:right w:w="30" w:type="dxa"/>
          </w:tblCellMar>
        </w:tblPrEx>
        <w:trPr>
          <w:trHeight w:val="247" w:hRule="atLeast"/>
          <w:jc w:val="center"/>
        </w:trPr>
        <w:tc>
          <w:tcPr>
            <w:tcW w:w="47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color w:val="000000"/>
                <w:kern w:val="0"/>
                <w:sz w:val="18"/>
                <w:szCs w:val="18"/>
              </w:rPr>
            </w:pPr>
            <w:r>
              <w:rPr>
                <w:rFonts w:ascii="宋体" w:hAnsi="Arial" w:cs="宋体"/>
                <w:color w:val="000000"/>
                <w:kern w:val="0"/>
                <w:sz w:val="18"/>
                <w:szCs w:val="18"/>
              </w:rPr>
              <w:t>1</w:t>
            </w:r>
          </w:p>
        </w:tc>
        <w:tc>
          <w:tcPr>
            <w:tcW w:w="348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ascii="宋体" w:hAnsi="宋体" w:cs="宋体"/>
                <w:color w:val="000000"/>
                <w:kern w:val="0"/>
                <w:sz w:val="18"/>
                <w:szCs w:val="18"/>
              </w:rPr>
            </w:pPr>
            <w:r>
              <w:rPr>
                <w:rFonts w:hint="eastAsia" w:ascii="宋体" w:hAnsi="宋体"/>
                <w:color w:val="000000"/>
                <w:sz w:val="18"/>
                <w:szCs w:val="18"/>
              </w:rPr>
              <w:t>运维审计系统</w:t>
            </w:r>
          </w:p>
        </w:tc>
        <w:tc>
          <w:tcPr>
            <w:tcW w:w="27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Arial" w:cs="宋体"/>
                <w:color w:val="000000"/>
                <w:kern w:val="0"/>
                <w:sz w:val="18"/>
                <w:szCs w:val="18"/>
              </w:rPr>
            </w:pPr>
            <w:r>
              <w:rPr>
                <w:rFonts w:hint="eastAsia" w:ascii="宋体" w:hAnsi="宋体"/>
                <w:sz w:val="18"/>
                <w:szCs w:val="18"/>
              </w:rPr>
              <w:t>见本要求“二、技术要求”</w:t>
            </w: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Arial" w:cs="宋体"/>
                <w:kern w:val="0"/>
                <w:sz w:val="18"/>
                <w:szCs w:val="18"/>
              </w:rPr>
            </w:pPr>
            <w:r>
              <w:rPr>
                <w:rFonts w:hint="eastAsia" w:ascii="宋体" w:hAnsi="Arial" w:cs="宋体"/>
                <w:kern w:val="0"/>
                <w:sz w:val="18"/>
                <w:szCs w:val="18"/>
              </w:rPr>
              <w:t>1</w:t>
            </w:r>
          </w:p>
        </w:tc>
        <w:tc>
          <w:tcPr>
            <w:tcW w:w="9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color w:val="FF0000"/>
                <w:kern w:val="0"/>
                <w:sz w:val="18"/>
                <w:szCs w:val="18"/>
              </w:rPr>
            </w:pPr>
          </w:p>
        </w:tc>
      </w:tr>
    </w:tbl>
    <w:p>
      <w:pPr>
        <w:widowControl/>
        <w:adjustRightInd w:val="0"/>
        <w:snapToGrid w:val="0"/>
        <w:spacing w:line="360" w:lineRule="auto"/>
        <w:jc w:val="left"/>
        <w:rPr>
          <w:rFonts w:hint="eastAsia"/>
          <w:b/>
          <w:sz w:val="24"/>
        </w:rPr>
      </w:pPr>
      <w:r>
        <w:rPr>
          <w:rFonts w:hint="eastAsia"/>
        </w:rPr>
        <mc:AlternateContent>
          <mc:Choice Requires="wps">
            <w:drawing>
              <wp:anchor distT="0" distB="0" distL="114300" distR="114300" simplePos="0" relativeHeight="251658240" behindDoc="0" locked="0" layoutInCell="1" allowOverlap="1">
                <wp:simplePos x="0" y="0"/>
                <wp:positionH relativeFrom="column">
                  <wp:posOffset>610870</wp:posOffset>
                </wp:positionH>
                <wp:positionV relativeFrom="paragraph">
                  <wp:posOffset>120650</wp:posOffset>
                </wp:positionV>
                <wp:extent cx="342900" cy="820420"/>
                <wp:effectExtent l="0" t="0" r="0" b="17780"/>
                <wp:wrapNone/>
                <wp:docPr id="7" name="文本框 7"/>
                <wp:cNvGraphicFramePr/>
                <a:graphic xmlns:a="http://schemas.openxmlformats.org/drawingml/2006/main">
                  <a:graphicData uri="http://schemas.microsoft.com/office/word/2010/wordprocessingShape">
                    <wps:wsp>
                      <wps:cNvSpPr txBox="1"/>
                      <wps:spPr>
                        <a:xfrm>
                          <a:off x="0" y="0"/>
                          <a:ext cx="342900" cy="820420"/>
                        </a:xfrm>
                        <a:prstGeom prst="rect">
                          <a:avLst/>
                        </a:prstGeom>
                        <a:solidFill>
                          <a:srgbClr val="FFFFFF"/>
                        </a:solidFill>
                        <a:ln>
                          <a:noFill/>
                        </a:ln>
                      </wps:spPr>
                      <wps:txbx>
                        <w:txbxContent>
                          <w:p>
                            <w:pPr>
                              <w:rPr>
                                <w:sz w:val="24"/>
                              </w:rPr>
                            </w:pPr>
                            <w:r>
                              <w:rPr>
                                <w:rFonts w:hint="eastAsia" w:ascii="宋体" w:hAnsi="宋体" w:cs="宋体"/>
                                <w:kern w:val="0"/>
                                <w:sz w:val="24"/>
                              </w:rPr>
                              <w:t>★</w:t>
                            </w:r>
                          </w:p>
                        </w:txbxContent>
                      </wps:txbx>
                      <wps:bodyPr upright="1"/>
                    </wps:wsp>
                  </a:graphicData>
                </a:graphic>
              </wp:anchor>
            </w:drawing>
          </mc:Choice>
          <mc:Fallback>
            <w:pict>
              <v:shape id="_x0000_s1026" o:spid="_x0000_s1026" o:spt="202" type="#_x0000_t202" style="position:absolute;left:0pt;margin-left:48.1pt;margin-top:9.5pt;height:64.6pt;width:27pt;z-index:251658240;mso-width-relative:page;mso-height-relative:page;" fillcolor="#FFFFFF" filled="t" stroked="f" coordsize="21600,21600" o:gfxdata="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4ec59UAAAAJAQAADwAAAAAAAAABACAAAAAiAAAAZHJzL2Rvd25yZXYueG1s&#10;UEsBAhQAFAAAAAgAh07iQIkqMpfCAQAAdgMAAA4AAAAAAAAAAQAgAAAAJAEAAGRycy9lMm9Eb2Mu&#10;eG1sUEsFBgAAAAAGAAYAWQEAAFgFAAAAAA==&#10;">
                <v:fill on="t" focussize="0,0"/>
                <v:stroke on="f"/>
                <v:imagedata o:title=""/>
                <o:lock v:ext="edit" aspectratio="f"/>
                <v:textbox>
                  <w:txbxContent>
                    <w:p>
                      <w:pPr>
                        <w:rPr>
                          <w:sz w:val="24"/>
                        </w:rPr>
                      </w:pPr>
                      <w:r>
                        <w:rPr>
                          <w:rFonts w:hint="eastAsia" w:ascii="宋体" w:hAnsi="宋体" w:cs="宋体"/>
                          <w:kern w:val="0"/>
                          <w:sz w:val="24"/>
                        </w:rPr>
                        <w:t>★</w:t>
                      </w:r>
                    </w:p>
                  </w:txbxContent>
                </v:textbox>
              </v:shape>
            </w:pict>
          </mc:Fallback>
        </mc:AlternateContent>
      </w:r>
    </w:p>
    <w:p>
      <w:pPr>
        <w:widowControl/>
        <w:adjustRightInd w:val="0"/>
        <w:snapToGrid w:val="0"/>
        <w:spacing w:line="360" w:lineRule="auto"/>
        <w:ind w:firstLine="420" w:firstLineChars="200"/>
        <w:jc w:val="left"/>
        <w:rPr>
          <w:rFonts w:hint="eastAsia"/>
          <w:sz w:val="24"/>
        </w:rPr>
      </w:pPr>
      <w:r>
        <w:rPr>
          <w:rFonts w:hint="eastAsia"/>
        </w:rPr>
        <w:t>注：“      ”为关键指标必须满足</w:t>
      </w:r>
    </w:p>
    <w:p>
      <w:pPr>
        <w:widowControl/>
        <w:adjustRightInd w:val="0"/>
        <w:snapToGrid w:val="0"/>
        <w:ind w:right="1040"/>
        <w:rPr>
          <w:rFonts w:hint="eastAsia" w:ascii="仿宋_GB2312" w:hAnsi="宋体" w:eastAsia="仿宋_GB2312"/>
          <w:color w:val="000000"/>
          <w:spacing w:val="10"/>
          <w:kern w:val="0"/>
          <w:sz w:val="30"/>
          <w:szCs w:val="30"/>
        </w:rPr>
      </w:pPr>
    </w:p>
    <w:p>
      <w:pPr>
        <w:pStyle w:val="17"/>
        <w:adjustRightInd w:val="0"/>
        <w:snapToGrid w:val="0"/>
        <w:spacing w:before="0" w:after="0" w:line="360" w:lineRule="exact"/>
        <w:rPr>
          <w:rFonts w:hint="eastAsia"/>
          <w:b/>
        </w:rPr>
      </w:pPr>
    </w:p>
    <w:p>
      <w:pPr>
        <w:pStyle w:val="17"/>
        <w:adjustRightInd w:val="0"/>
        <w:snapToGrid w:val="0"/>
        <w:spacing w:before="0" w:after="0" w:line="360" w:lineRule="exact"/>
        <w:rPr>
          <w:rFonts w:hint="eastAsia"/>
          <w:b/>
        </w:rPr>
      </w:pPr>
      <w:r>
        <w:rPr>
          <w:rFonts w:hint="eastAsia"/>
          <w:b/>
          <w:lang w:eastAsia="zh-CN"/>
        </w:rPr>
        <w:t>五</w:t>
      </w:r>
      <w:r>
        <w:rPr>
          <w:rFonts w:hint="eastAsia"/>
          <w:b/>
        </w:rPr>
        <w:t>、    综合说明及其它要求：</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投标人应对所投项目的全部内容进行报价，只投其中部分内容者，其标书将被拒绝。</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凡涉及</w:t>
      </w:r>
      <w:r>
        <w:rPr>
          <w:rFonts w:hint="eastAsia" w:ascii="宋体" w:hAnsi="宋体" w:cs="宋体"/>
          <w:sz w:val="24"/>
          <w:lang w:eastAsia="zh-CN"/>
        </w:rPr>
        <w:t>采购文件</w:t>
      </w:r>
      <w:r>
        <w:rPr>
          <w:rFonts w:hint="eastAsia" w:ascii="宋体" w:hAnsi="宋体" w:cs="宋体"/>
          <w:sz w:val="24"/>
        </w:rPr>
        <w:t>的补充说明和修改，均以</w:t>
      </w:r>
      <w:r>
        <w:rPr>
          <w:rFonts w:hint="eastAsia" w:ascii="宋体" w:hAnsi="宋体" w:cs="宋体"/>
          <w:sz w:val="24"/>
          <w:lang w:eastAsia="zh-CN"/>
        </w:rPr>
        <w:t>南京邮电大学及南京邮电大学通达学院</w:t>
      </w:r>
      <w:r>
        <w:rPr>
          <w:rFonts w:hint="eastAsia" w:ascii="宋体" w:hAnsi="宋体" w:cs="宋体"/>
          <w:sz w:val="24"/>
        </w:rPr>
        <w:t>公示的补充通知为准。</w:t>
      </w: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hint="eastAsia" w:ascii="宋体" w:hAnsi="宋体" w:cs="宋体"/>
          <w:sz w:val="24"/>
        </w:rPr>
      </w:pPr>
    </w:p>
    <w:p>
      <w:pPr>
        <w:pStyle w:val="2"/>
        <w:rPr>
          <w:rFonts w:hint="eastAsia" w:ascii="宋体" w:hAnsi="宋体" w:cs="宋体"/>
          <w:sz w:val="24"/>
        </w:rPr>
      </w:pPr>
    </w:p>
    <w:p>
      <w:pPr>
        <w:pStyle w:val="8"/>
        <w:adjustRightInd w:val="0"/>
        <w:snapToGrid w:val="0"/>
        <w:spacing w:line="440" w:lineRule="exact"/>
        <w:jc w:val="center"/>
        <w:rPr>
          <w:rFonts w:hint="eastAsia" w:hAnsi="宋体" w:cs="宋体"/>
          <w:b/>
          <w:sz w:val="44"/>
          <w:szCs w:val="44"/>
        </w:rPr>
      </w:pPr>
      <w:r>
        <w:rPr>
          <w:rFonts w:hint="eastAsia" w:hAnsi="宋体" w:cs="宋体"/>
          <w:b/>
          <w:bCs/>
          <w:sz w:val="44"/>
          <w:szCs w:val="44"/>
        </w:rPr>
        <w:t>第五章  评标方法与评标标准</w:t>
      </w:r>
    </w:p>
    <w:bookmarkEnd w:id="25"/>
    <w:bookmarkEnd w:id="26"/>
    <w:bookmarkEnd w:id="27"/>
    <w:bookmarkEnd w:id="28"/>
    <w:p>
      <w:pPr>
        <w:tabs>
          <w:tab w:val="left" w:pos="0"/>
          <w:tab w:val="left" w:pos="993"/>
          <w:tab w:val="left" w:pos="1134"/>
        </w:tabs>
        <w:adjustRightInd w:val="0"/>
        <w:snapToGrid w:val="0"/>
        <w:spacing w:before="145" w:beforeLines="50" w:line="300" w:lineRule="auto"/>
        <w:ind w:firstLine="480" w:firstLineChars="200"/>
        <w:rPr>
          <w:rFonts w:ascii="宋体" w:hAnsi="宋体"/>
          <w:bCs/>
          <w:snapToGrid w:val="0"/>
          <w:color w:val="000000"/>
          <w:sz w:val="24"/>
        </w:rPr>
      </w:pPr>
      <w:bookmarkStart w:id="34" w:name="_Toc120614281"/>
      <w:bookmarkStart w:id="35" w:name="_Toc26554093"/>
      <w:bookmarkStart w:id="36" w:name="_Toc49090575"/>
      <w:r>
        <w:rPr>
          <w:rFonts w:hint="eastAsia" w:ascii="宋体" w:hAnsi="宋体"/>
          <w:bCs/>
          <w:snapToGrid w:val="0"/>
          <w:color w:val="000000"/>
          <w:sz w:val="24"/>
        </w:rPr>
        <w:t>一、总则</w:t>
      </w:r>
    </w:p>
    <w:p>
      <w:pPr>
        <w:tabs>
          <w:tab w:val="left" w:pos="0"/>
          <w:tab w:val="left" w:pos="993"/>
          <w:tab w:val="left" w:pos="1134"/>
        </w:tabs>
        <w:adjustRightInd w:val="0"/>
        <w:snapToGrid w:val="0"/>
        <w:spacing w:line="300" w:lineRule="auto"/>
        <w:ind w:firstLine="480" w:firstLineChars="200"/>
        <w:rPr>
          <w:rFonts w:hint="eastAsia" w:ascii="宋体" w:hAnsi="宋体"/>
          <w:bCs/>
          <w:snapToGrid w:val="0"/>
          <w:color w:val="000000"/>
          <w:sz w:val="24"/>
        </w:rPr>
      </w:pPr>
      <w:r>
        <w:rPr>
          <w:rFonts w:hint="eastAsia" w:ascii="宋体" w:hAnsi="宋体"/>
          <w:bCs/>
          <w:snapToGrid w:val="0"/>
          <w:color w:val="000000"/>
          <w:sz w:val="24"/>
        </w:rPr>
        <w:t>本次评标采用综合评分法，即在满足</w:t>
      </w:r>
      <w:r>
        <w:rPr>
          <w:rFonts w:hint="eastAsia" w:ascii="宋体" w:hAnsi="宋体"/>
          <w:bCs/>
          <w:snapToGrid w:val="0"/>
          <w:color w:val="000000"/>
          <w:sz w:val="24"/>
          <w:lang w:eastAsia="zh-CN"/>
        </w:rPr>
        <w:t>采购文件</w:t>
      </w:r>
      <w:r>
        <w:rPr>
          <w:rFonts w:hint="eastAsia" w:ascii="宋体" w:hAnsi="宋体"/>
          <w:bCs/>
          <w:snapToGrid w:val="0"/>
          <w:color w:val="000000"/>
          <w:sz w:val="24"/>
        </w:rPr>
        <w:t>实质性要求前提下，按照</w:t>
      </w:r>
      <w:r>
        <w:rPr>
          <w:rFonts w:hint="eastAsia" w:ascii="宋体" w:hAnsi="宋体"/>
          <w:bCs/>
          <w:snapToGrid w:val="0"/>
          <w:color w:val="000000"/>
          <w:sz w:val="24"/>
          <w:lang w:eastAsia="zh-CN"/>
        </w:rPr>
        <w:t>采购文件</w:t>
      </w:r>
      <w:r>
        <w:rPr>
          <w:rFonts w:hint="eastAsia" w:ascii="宋体" w:hAnsi="宋体"/>
          <w:bCs/>
          <w:snapToGrid w:val="0"/>
          <w:color w:val="000000"/>
          <w:sz w:val="24"/>
        </w:rPr>
        <w:t>中规定的评分标准和各项因素进行综合评审后，以评标总得分最高的投标人作为中标候选供应商或中标供应商。</w:t>
      </w:r>
      <w:r>
        <w:rPr>
          <w:rFonts w:ascii="仿宋_GB2312" w:hAnsi="宋体" w:cs="宋体"/>
          <w:color w:val="000000"/>
          <w:kern w:val="0"/>
          <w:sz w:val="24"/>
        </w:rPr>
        <w:t>得分相同的，按投标报价由低到高顺序排列。得分且投标报价相同的，按技术服务方案优劣顺序排列</w:t>
      </w:r>
      <w:r>
        <w:rPr>
          <w:rFonts w:hint="eastAsia" w:ascii="宋体" w:hAnsi="宋体"/>
          <w:bCs/>
          <w:snapToGrid w:val="0"/>
          <w:color w:val="000000"/>
          <w:sz w:val="24"/>
        </w:rPr>
        <w:t>本综合评分法采用百分制形式，具体分值详见本细则。</w:t>
      </w:r>
      <w:r>
        <w:rPr>
          <w:rFonts w:hint="eastAsia" w:ascii="宋体" w:hAnsi="宋体"/>
          <w:color w:val="000000"/>
          <w:sz w:val="24"/>
        </w:rPr>
        <w:t xml:space="preserve">                   </w:t>
      </w:r>
    </w:p>
    <w:p>
      <w:pPr>
        <w:tabs>
          <w:tab w:val="left" w:pos="0"/>
          <w:tab w:val="left" w:pos="600"/>
          <w:tab w:val="left" w:pos="993"/>
          <w:tab w:val="left" w:pos="1134"/>
        </w:tabs>
        <w:adjustRightInd w:val="0"/>
        <w:snapToGrid w:val="0"/>
        <w:spacing w:line="300" w:lineRule="auto"/>
        <w:ind w:firstLine="480" w:firstLineChars="200"/>
        <w:rPr>
          <w:rFonts w:ascii="宋体" w:hAnsi="宋体"/>
          <w:color w:val="000000"/>
          <w:sz w:val="24"/>
        </w:rPr>
      </w:pPr>
      <w:r>
        <w:rPr>
          <w:rFonts w:hint="eastAsia" w:ascii="宋体" w:hAnsi="宋体"/>
          <w:color w:val="000000"/>
          <w:sz w:val="24"/>
        </w:rPr>
        <w:t>二、评分标准</w:t>
      </w:r>
    </w:p>
    <w:p>
      <w:pPr>
        <w:tabs>
          <w:tab w:val="left" w:pos="0"/>
          <w:tab w:val="left" w:pos="600"/>
          <w:tab w:val="left" w:pos="1134"/>
        </w:tabs>
        <w:adjustRightInd w:val="0"/>
        <w:snapToGrid w:val="0"/>
        <w:rPr>
          <w:rFonts w:hint="eastAsia" w:ascii="黑体" w:eastAsia="黑体"/>
          <w:b/>
          <w:bCs/>
          <w:color w:val="000000"/>
          <w:sz w:val="28"/>
          <w:szCs w:val="28"/>
        </w:rPr>
      </w:pPr>
      <w:r>
        <w:rPr>
          <w:rFonts w:hint="eastAsia" w:ascii="宋体" w:hAnsi="宋体"/>
          <w:b/>
          <w:bCs/>
          <w:color w:val="000000"/>
          <w:sz w:val="24"/>
        </w:rPr>
        <w:t xml:space="preserve">     1.投标报价（40分）</w:t>
      </w:r>
    </w:p>
    <w:p>
      <w:pPr>
        <w:tabs>
          <w:tab w:val="left" w:pos="0"/>
          <w:tab w:val="left" w:pos="600"/>
          <w:tab w:val="left" w:pos="993"/>
          <w:tab w:val="left" w:pos="1134"/>
        </w:tabs>
        <w:adjustRightInd w:val="0"/>
        <w:snapToGrid w:val="0"/>
        <w:spacing w:line="300" w:lineRule="auto"/>
        <w:jc w:val="left"/>
        <w:rPr>
          <w:rFonts w:hint="eastAsia" w:ascii="宋体" w:hAnsi="宋体"/>
          <w:color w:val="000000"/>
          <w:sz w:val="24"/>
        </w:rPr>
      </w:pPr>
      <w:r>
        <w:rPr>
          <w:rFonts w:hint="eastAsia" w:ascii="宋体" w:hAnsi="宋体"/>
          <w:color w:val="000000"/>
          <w:sz w:val="24"/>
        </w:rPr>
        <w:t xml:space="preserve">    </w:t>
      </w:r>
      <w:bookmarkStart w:id="37" w:name="_Hlk494380768"/>
      <w:r>
        <w:rPr>
          <w:rFonts w:hint="eastAsia" w:ascii="宋体" w:hAnsi="宋体"/>
          <w:color w:val="000000"/>
          <w:sz w:val="24"/>
        </w:rPr>
        <w:t>采用低价优先法计算，即满足</w:t>
      </w:r>
      <w:r>
        <w:rPr>
          <w:rFonts w:hint="eastAsia" w:ascii="宋体" w:hAnsi="宋体"/>
          <w:color w:val="000000"/>
          <w:sz w:val="24"/>
          <w:lang w:eastAsia="zh-CN"/>
        </w:rPr>
        <w:t>采购文件</w:t>
      </w:r>
      <w:r>
        <w:rPr>
          <w:rFonts w:hint="eastAsia" w:ascii="宋体" w:hAnsi="宋体"/>
          <w:color w:val="000000"/>
          <w:sz w:val="24"/>
        </w:rPr>
        <w:t>要求且投标价格最低的投标报价为评标基准</w:t>
      </w:r>
    </w:p>
    <w:p>
      <w:pPr>
        <w:tabs>
          <w:tab w:val="left" w:pos="0"/>
          <w:tab w:val="left" w:pos="600"/>
          <w:tab w:val="left" w:pos="993"/>
          <w:tab w:val="left" w:pos="1134"/>
        </w:tabs>
        <w:adjustRightInd w:val="0"/>
        <w:snapToGrid w:val="0"/>
        <w:spacing w:line="300" w:lineRule="auto"/>
        <w:jc w:val="left"/>
        <w:rPr>
          <w:rFonts w:hint="eastAsia" w:ascii="宋体" w:hAnsi="宋体"/>
          <w:color w:val="000000"/>
          <w:sz w:val="24"/>
        </w:rPr>
      </w:pPr>
      <w:r>
        <w:rPr>
          <w:rFonts w:hint="eastAsia" w:ascii="宋体" w:hAnsi="宋体"/>
          <w:color w:val="000000"/>
          <w:sz w:val="24"/>
        </w:rPr>
        <w:t>价，其价格为满分。其他投标人的价格分按照下列公式计算：</w:t>
      </w:r>
    </w:p>
    <w:p>
      <w:pPr>
        <w:tabs>
          <w:tab w:val="left" w:pos="0"/>
          <w:tab w:val="left" w:pos="600"/>
          <w:tab w:val="left" w:pos="993"/>
          <w:tab w:val="left" w:pos="1134"/>
        </w:tabs>
        <w:adjustRightInd w:val="0"/>
        <w:snapToGrid w:val="0"/>
        <w:spacing w:line="300" w:lineRule="auto"/>
        <w:ind w:firstLine="480"/>
        <w:jc w:val="left"/>
        <w:rPr>
          <w:rFonts w:hint="eastAsia" w:ascii="宋体" w:hAnsi="宋体"/>
          <w:color w:val="000000"/>
          <w:sz w:val="24"/>
        </w:rPr>
      </w:pPr>
      <w:r>
        <w:rPr>
          <w:rFonts w:hint="eastAsia" w:ascii="宋体" w:hAnsi="宋体"/>
          <w:color w:val="000000"/>
          <w:sz w:val="24"/>
        </w:rPr>
        <w:t>报价得分=（评标基准价/有效报价）</w:t>
      </w:r>
      <w:r>
        <w:rPr>
          <w:rFonts w:ascii="Arial" w:hAnsi="Arial" w:cs="Arial"/>
          <w:color w:val="000000"/>
          <w:sz w:val="24"/>
        </w:rPr>
        <w:t>×</w:t>
      </w:r>
      <w:r>
        <w:rPr>
          <w:rFonts w:hint="eastAsia" w:ascii="宋体" w:hAnsi="宋体"/>
          <w:color w:val="000000"/>
          <w:sz w:val="24"/>
        </w:rPr>
        <w:t>40。计算结果保留两位小数。</w:t>
      </w:r>
      <w:bookmarkEnd w:id="37"/>
    </w:p>
    <w:p>
      <w:pPr>
        <w:tabs>
          <w:tab w:val="left" w:pos="0"/>
          <w:tab w:val="left" w:pos="600"/>
          <w:tab w:val="left" w:pos="1134"/>
        </w:tabs>
        <w:adjustRightInd w:val="0"/>
        <w:snapToGrid w:val="0"/>
        <w:ind w:firstLine="482" w:firstLineChars="200"/>
        <w:rPr>
          <w:rFonts w:hint="eastAsia" w:ascii="宋体" w:hAnsi="宋体"/>
          <w:b/>
          <w:bCs/>
          <w:color w:val="000000"/>
          <w:sz w:val="24"/>
        </w:rPr>
      </w:pPr>
      <w:r>
        <w:rPr>
          <w:rFonts w:hint="eastAsia" w:ascii="宋体" w:hAnsi="宋体"/>
          <w:b/>
          <w:bCs/>
          <w:color w:val="000000"/>
          <w:sz w:val="24"/>
        </w:rPr>
        <w:t>2.技术参数响应情况(</w:t>
      </w:r>
      <w:r>
        <w:rPr>
          <w:rFonts w:hint="eastAsia" w:ascii="宋体" w:hAnsi="宋体"/>
          <w:b/>
          <w:bCs/>
          <w:color w:val="000000"/>
          <w:sz w:val="24"/>
          <w:lang w:val="en-US" w:eastAsia="zh-CN"/>
        </w:rPr>
        <w:t>28</w:t>
      </w:r>
      <w:r>
        <w:rPr>
          <w:rFonts w:hint="eastAsia" w:ascii="宋体" w:hAnsi="宋体"/>
          <w:b/>
          <w:bCs/>
          <w:color w:val="000000"/>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根据各投标文件对技术性能的响应情况（</w:t>
      </w:r>
      <w:r>
        <w:rPr>
          <w:rFonts w:hint="eastAsia" w:ascii="宋体" w:hAnsi="宋体"/>
          <w:color w:val="000000"/>
          <w:sz w:val="24"/>
          <w:lang w:val="en-US" w:eastAsia="zh-CN"/>
        </w:rPr>
        <w:t>按项目需求12项，每项2分</w:t>
      </w:r>
      <w:r>
        <w:rPr>
          <w:rFonts w:hint="eastAsia" w:ascii="宋体" w:hAnsi="宋体"/>
          <w:color w:val="000000"/>
          <w:sz w:val="24"/>
        </w:rPr>
        <w:t>，完全响应得</w:t>
      </w:r>
      <w:r>
        <w:rPr>
          <w:rFonts w:hint="eastAsia" w:ascii="宋体" w:hAnsi="宋体"/>
          <w:color w:val="000000"/>
          <w:sz w:val="24"/>
          <w:lang w:val="en-US" w:eastAsia="zh-CN"/>
        </w:rPr>
        <w:t>24</w:t>
      </w:r>
      <w:r>
        <w:rPr>
          <w:rFonts w:hint="eastAsia" w:ascii="宋体" w:hAnsi="宋体"/>
          <w:color w:val="000000"/>
          <w:sz w:val="24"/>
        </w:rPr>
        <w:t>分</w:t>
      </w:r>
      <w:r>
        <w:rPr>
          <w:rFonts w:hint="eastAsia" w:ascii="宋体" w:hAnsi="宋体"/>
          <w:color w:val="000000"/>
          <w:sz w:val="24"/>
          <w:lang w:eastAsia="zh-CN"/>
        </w:rPr>
        <w:t>，</w:t>
      </w:r>
      <w:r>
        <w:rPr>
          <w:rFonts w:hint="eastAsia" w:ascii="宋体" w:hAnsi="宋体"/>
          <w:color w:val="000000"/>
          <w:sz w:val="24"/>
        </w:rPr>
        <w:t>正偏离一项加</w:t>
      </w:r>
      <w:r>
        <w:rPr>
          <w:rFonts w:hint="eastAsia" w:ascii="宋体" w:hAnsi="宋体"/>
          <w:color w:val="000000"/>
          <w:sz w:val="24"/>
          <w:lang w:val="en-US" w:eastAsia="zh-CN"/>
        </w:rPr>
        <w:t>2</w:t>
      </w:r>
      <w:r>
        <w:rPr>
          <w:rFonts w:hint="eastAsia" w:ascii="宋体" w:hAnsi="宋体"/>
          <w:color w:val="000000"/>
          <w:sz w:val="24"/>
        </w:rPr>
        <w:t>分（</w:t>
      </w:r>
      <w:r>
        <w:rPr>
          <w:rFonts w:hint="eastAsia" w:ascii="宋体" w:hAnsi="宋体"/>
          <w:color w:val="000000"/>
          <w:sz w:val="24"/>
          <w:lang w:eastAsia="zh-CN"/>
        </w:rPr>
        <w:t>评审专家组</w:t>
      </w:r>
      <w:r>
        <w:rPr>
          <w:rFonts w:hint="eastAsia" w:ascii="宋体" w:hAnsi="宋体"/>
          <w:color w:val="000000"/>
          <w:sz w:val="24"/>
        </w:rPr>
        <w:t>认为超出指标有意义）</w:t>
      </w:r>
      <w:r>
        <w:rPr>
          <w:rFonts w:hint="eastAsia" w:ascii="宋体" w:hAnsi="宋体"/>
          <w:color w:val="000000"/>
          <w:sz w:val="24"/>
          <w:lang w:eastAsia="zh-CN"/>
        </w:rPr>
        <w:t>，</w:t>
      </w:r>
      <w:r>
        <w:rPr>
          <w:rFonts w:hint="eastAsia" w:ascii="宋体" w:hAnsi="宋体"/>
          <w:color w:val="000000"/>
          <w:sz w:val="24"/>
          <w:lang w:val="en-US" w:eastAsia="zh-CN"/>
        </w:rPr>
        <w:t>未加“</w:t>
      </w:r>
      <w:r>
        <w:rPr>
          <w:rFonts w:hint="eastAsia" w:ascii="宋体" w:hAnsi="宋体"/>
          <w:b/>
          <w:color w:val="000000"/>
          <w:sz w:val="18"/>
          <w:szCs w:val="18"/>
        </w:rPr>
        <w:t>★</w:t>
      </w:r>
      <w:r>
        <w:rPr>
          <w:rFonts w:hint="eastAsia" w:ascii="宋体" w:hAnsi="宋体"/>
          <w:color w:val="000000"/>
          <w:sz w:val="24"/>
          <w:lang w:val="en-US" w:eastAsia="zh-CN"/>
        </w:rPr>
        <w:t>”项参数负偏离一项扣1分</w:t>
      </w:r>
      <w:r>
        <w:rPr>
          <w:rFonts w:hint="eastAsia" w:ascii="宋体" w:hAnsi="宋体"/>
          <w:color w:val="000000"/>
          <w:sz w:val="24"/>
        </w:rPr>
        <w:t>，最高得分为</w:t>
      </w:r>
      <w:r>
        <w:rPr>
          <w:rFonts w:hint="eastAsia" w:ascii="宋体" w:hAnsi="宋体"/>
          <w:color w:val="000000"/>
          <w:sz w:val="24"/>
          <w:lang w:val="en-US" w:eastAsia="zh-CN"/>
        </w:rPr>
        <w:t>28</w:t>
      </w:r>
      <w:r>
        <w:rPr>
          <w:rFonts w:hint="eastAsia" w:ascii="宋体" w:hAnsi="宋体"/>
          <w:color w:val="000000"/>
          <w:sz w:val="24"/>
        </w:rPr>
        <w:t>分。</w:t>
      </w:r>
      <w:r>
        <w:rPr>
          <w:rFonts w:hint="eastAsia" w:ascii="宋体" w:hAnsi="宋体"/>
          <w:color w:val="000000"/>
          <w:sz w:val="24"/>
          <w:lang w:val="en-US" w:eastAsia="zh-CN"/>
        </w:rPr>
        <w:t>加“</w:t>
      </w:r>
      <w:r>
        <w:rPr>
          <w:rFonts w:hint="eastAsia" w:ascii="宋体" w:hAnsi="宋体"/>
          <w:b/>
          <w:color w:val="000000"/>
          <w:sz w:val="18"/>
          <w:szCs w:val="18"/>
        </w:rPr>
        <w:t>★</w:t>
      </w:r>
      <w:r>
        <w:rPr>
          <w:rFonts w:hint="eastAsia" w:ascii="宋体" w:hAnsi="宋体"/>
          <w:color w:val="000000"/>
          <w:sz w:val="24"/>
          <w:lang w:val="en-US" w:eastAsia="zh-CN"/>
        </w:rPr>
        <w:t>”项参数</w:t>
      </w:r>
      <w:r>
        <w:rPr>
          <w:rFonts w:hint="eastAsia" w:ascii="宋体" w:hAnsi="宋体"/>
          <w:color w:val="000000"/>
          <w:sz w:val="24"/>
        </w:rPr>
        <w:t>有</w:t>
      </w:r>
      <w:r>
        <w:rPr>
          <w:rFonts w:hint="eastAsia" w:ascii="宋体" w:hAnsi="宋体"/>
          <w:color w:val="000000"/>
          <w:sz w:val="24"/>
          <w:lang w:val="en-US" w:eastAsia="zh-CN"/>
        </w:rPr>
        <w:t>一</w:t>
      </w:r>
      <w:r>
        <w:rPr>
          <w:rFonts w:hint="eastAsia" w:ascii="宋体" w:hAnsi="宋体"/>
          <w:color w:val="000000"/>
          <w:sz w:val="24"/>
        </w:rPr>
        <w:t>项负偏离本大项不得分。</w:t>
      </w:r>
    </w:p>
    <w:p>
      <w:pPr>
        <w:tabs>
          <w:tab w:val="left" w:pos="0"/>
          <w:tab w:val="left" w:pos="600"/>
          <w:tab w:val="left" w:pos="993"/>
          <w:tab w:val="left" w:pos="1134"/>
        </w:tabs>
        <w:adjustRightInd w:val="0"/>
        <w:snapToGrid w:val="0"/>
        <w:spacing w:line="380" w:lineRule="exact"/>
        <w:ind w:firstLine="482" w:firstLineChars="200"/>
        <w:jc w:val="left"/>
        <w:rPr>
          <w:rFonts w:hint="eastAsia" w:ascii="宋体" w:hAnsi="宋体"/>
          <w:b/>
          <w:sz w:val="24"/>
        </w:rPr>
      </w:pPr>
      <w:r>
        <w:rPr>
          <w:rFonts w:hint="eastAsia" w:ascii="宋体" w:hAnsi="宋体"/>
          <w:b/>
          <w:sz w:val="24"/>
          <w:lang w:val="en-US" w:eastAsia="zh-CN"/>
        </w:rPr>
        <w:t>3.</w:t>
      </w:r>
      <w:r>
        <w:rPr>
          <w:rFonts w:hint="eastAsia" w:ascii="宋体" w:hAnsi="宋体"/>
          <w:b/>
          <w:sz w:val="24"/>
        </w:rPr>
        <w:t>售后服务和承诺（</w:t>
      </w:r>
      <w:r>
        <w:rPr>
          <w:rFonts w:hint="eastAsia" w:ascii="宋体" w:hAnsi="宋体"/>
          <w:b/>
          <w:sz w:val="24"/>
          <w:lang w:val="en-US" w:eastAsia="zh-CN"/>
        </w:rPr>
        <w:t>13</w:t>
      </w:r>
      <w:r>
        <w:rPr>
          <w:rFonts w:hint="eastAsia" w:ascii="宋体" w:hAnsi="宋体"/>
          <w:b/>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质</w:t>
      </w:r>
      <w:r>
        <w:rPr>
          <w:rFonts w:hint="eastAsia" w:ascii="宋体" w:hAnsi="宋体"/>
          <w:color w:val="000000"/>
          <w:sz w:val="24"/>
        </w:rPr>
        <w:t>保期内及期后服务方案：如服务体系、服务内容</w:t>
      </w:r>
      <w:r>
        <w:rPr>
          <w:rFonts w:hint="eastAsia" w:ascii="宋体" w:hAnsi="宋体"/>
          <w:color w:val="000000"/>
          <w:sz w:val="24"/>
          <w:lang w:eastAsia="zh-CN"/>
        </w:rPr>
        <w:t>、上门提供培训</w:t>
      </w:r>
      <w:r>
        <w:rPr>
          <w:rFonts w:hint="eastAsia" w:ascii="宋体" w:hAnsi="宋体"/>
          <w:color w:val="000000"/>
          <w:sz w:val="24"/>
        </w:rPr>
        <w:t>等，；根据投标文件的响应情况酌情给分，服务方案全面完整得</w:t>
      </w:r>
      <w:r>
        <w:rPr>
          <w:rFonts w:hint="eastAsia" w:ascii="宋体" w:hAnsi="宋体"/>
          <w:color w:val="000000"/>
          <w:sz w:val="24"/>
          <w:lang w:val="en-US" w:eastAsia="zh-CN"/>
        </w:rPr>
        <w:t>5</w:t>
      </w:r>
      <w:r>
        <w:rPr>
          <w:rFonts w:hint="eastAsia" w:ascii="宋体" w:hAnsi="宋体"/>
          <w:color w:val="000000"/>
          <w:sz w:val="24"/>
        </w:rPr>
        <w:t>分，服务方案一般得</w:t>
      </w:r>
      <w:r>
        <w:rPr>
          <w:rFonts w:hint="eastAsia" w:ascii="宋体" w:hAnsi="宋体"/>
          <w:color w:val="000000"/>
          <w:sz w:val="24"/>
          <w:lang w:val="en-US" w:eastAsia="zh-CN"/>
        </w:rPr>
        <w:t>3</w:t>
      </w:r>
      <w:r>
        <w:rPr>
          <w:rFonts w:hint="eastAsia" w:ascii="宋体" w:hAnsi="宋体"/>
          <w:color w:val="000000"/>
          <w:sz w:val="24"/>
        </w:rPr>
        <w:t>分，服务方案较差得1分；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 xml:space="preserve"> </w:t>
      </w:r>
      <w:r>
        <w:rPr>
          <w:rFonts w:hint="eastAsia" w:ascii="宋体" w:hAnsi="宋体"/>
          <w:color w:val="000000"/>
          <w:sz w:val="24"/>
        </w:rPr>
        <w:t>2)免费质保期满足</w:t>
      </w:r>
      <w:r>
        <w:rPr>
          <w:rFonts w:hint="eastAsia" w:ascii="宋体" w:hAnsi="宋体"/>
          <w:color w:val="000000"/>
          <w:sz w:val="24"/>
          <w:lang w:eastAsia="zh-CN"/>
        </w:rPr>
        <w:t>采购文件（质保</w:t>
      </w:r>
      <w:r>
        <w:rPr>
          <w:rFonts w:hint="eastAsia" w:ascii="宋体" w:hAnsi="宋体"/>
          <w:color w:val="000000"/>
          <w:sz w:val="24"/>
          <w:lang w:val="en-US" w:eastAsia="zh-CN"/>
        </w:rPr>
        <w:t>3年</w:t>
      </w:r>
      <w:r>
        <w:rPr>
          <w:rFonts w:hint="eastAsia" w:ascii="宋体" w:hAnsi="宋体"/>
          <w:color w:val="000000"/>
          <w:sz w:val="24"/>
          <w:lang w:eastAsia="zh-CN"/>
        </w:rPr>
        <w:t>）</w:t>
      </w:r>
      <w:r>
        <w:rPr>
          <w:rFonts w:hint="eastAsia" w:ascii="宋体" w:hAnsi="宋体"/>
          <w:color w:val="000000"/>
          <w:sz w:val="24"/>
        </w:rPr>
        <w:t>需求，得</w:t>
      </w:r>
      <w:r>
        <w:rPr>
          <w:rFonts w:hint="eastAsia" w:ascii="宋体" w:hAnsi="宋体"/>
          <w:color w:val="000000"/>
          <w:sz w:val="24"/>
          <w:lang w:val="en-US" w:eastAsia="zh-CN"/>
        </w:rPr>
        <w:t>3</w:t>
      </w:r>
      <w:r>
        <w:rPr>
          <w:rFonts w:hint="eastAsia" w:ascii="宋体" w:hAnsi="宋体"/>
          <w:color w:val="000000"/>
          <w:sz w:val="24"/>
        </w:rPr>
        <w:t>分；免费维保期每延长1年，加</w:t>
      </w:r>
      <w:r>
        <w:rPr>
          <w:rFonts w:hint="eastAsia" w:ascii="宋体" w:hAnsi="宋体"/>
          <w:color w:val="000000"/>
          <w:sz w:val="24"/>
          <w:lang w:val="en-US" w:eastAsia="zh-CN"/>
        </w:rPr>
        <w:t>1</w:t>
      </w:r>
      <w:r>
        <w:rPr>
          <w:rFonts w:hint="eastAsia" w:ascii="宋体" w:hAnsi="宋体"/>
          <w:color w:val="000000"/>
          <w:sz w:val="24"/>
        </w:rPr>
        <w:t>分，最高加</w:t>
      </w:r>
      <w:r>
        <w:rPr>
          <w:rFonts w:hint="eastAsia" w:ascii="宋体" w:hAnsi="宋体"/>
          <w:color w:val="000000"/>
          <w:sz w:val="24"/>
          <w:lang w:val="en-US" w:eastAsia="zh-CN"/>
        </w:rPr>
        <w:t>2</w:t>
      </w:r>
      <w:r>
        <w:rPr>
          <w:rFonts w:hint="eastAsia" w:ascii="宋体" w:hAnsi="宋体"/>
          <w:color w:val="000000"/>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lang w:eastAsia="zh-CN"/>
        </w:rPr>
      </w:pPr>
      <w:r>
        <w:rPr>
          <w:rFonts w:hint="eastAsia" w:ascii="宋体" w:hAnsi="宋体"/>
          <w:color w:val="000000"/>
          <w:sz w:val="24"/>
        </w:rPr>
        <w:t>(3)</w:t>
      </w:r>
      <w:r>
        <w:rPr>
          <w:rFonts w:hint="eastAsia" w:ascii="宋体" w:hAnsi="宋体"/>
          <w:color w:val="000000"/>
          <w:sz w:val="24"/>
          <w:lang w:eastAsia="zh-CN"/>
        </w:rPr>
        <w:t>故障解决</w:t>
      </w:r>
      <w:r>
        <w:rPr>
          <w:rFonts w:hint="eastAsia" w:ascii="宋体" w:hAnsi="宋体"/>
          <w:color w:val="000000"/>
          <w:sz w:val="24"/>
        </w:rPr>
        <w:t>响应时间3分</w:t>
      </w:r>
      <w:r>
        <w:rPr>
          <w:rFonts w:hint="eastAsia" w:ascii="宋体" w:hAnsi="宋体"/>
          <w:color w:val="000000"/>
          <w:sz w:val="24"/>
          <w:lang w:eastAsia="zh-CN"/>
        </w:rPr>
        <w:t>。根据投标文件的响应情况酌情给分，优</w:t>
      </w:r>
      <w:r>
        <w:rPr>
          <w:rFonts w:hint="eastAsia" w:ascii="宋体" w:hAnsi="宋体"/>
          <w:color w:val="000000"/>
          <w:sz w:val="24"/>
          <w:lang w:val="en-US" w:eastAsia="zh-CN"/>
        </w:rPr>
        <w:t>3</w:t>
      </w:r>
      <w:r>
        <w:rPr>
          <w:rFonts w:hint="eastAsia" w:ascii="宋体" w:hAnsi="宋体"/>
          <w:color w:val="000000"/>
          <w:sz w:val="24"/>
          <w:lang w:eastAsia="zh-CN"/>
        </w:rPr>
        <w:t>分，良好</w:t>
      </w:r>
      <w:r>
        <w:rPr>
          <w:rFonts w:hint="eastAsia" w:ascii="宋体" w:hAnsi="宋体"/>
          <w:color w:val="000000"/>
          <w:sz w:val="24"/>
          <w:lang w:val="en-US" w:eastAsia="zh-CN"/>
        </w:rPr>
        <w:t>2</w:t>
      </w:r>
      <w:r>
        <w:rPr>
          <w:rFonts w:hint="eastAsia" w:ascii="宋体" w:hAnsi="宋体"/>
          <w:color w:val="000000"/>
          <w:sz w:val="24"/>
          <w:lang w:eastAsia="zh-CN"/>
        </w:rPr>
        <w:t>分，一般1分。</w:t>
      </w:r>
    </w:p>
    <w:p>
      <w:pPr>
        <w:tabs>
          <w:tab w:val="left" w:pos="0"/>
          <w:tab w:val="left" w:pos="600"/>
          <w:tab w:val="left" w:pos="993"/>
          <w:tab w:val="left" w:pos="1134"/>
        </w:tabs>
        <w:adjustRightInd w:val="0"/>
        <w:snapToGrid w:val="0"/>
        <w:spacing w:line="380" w:lineRule="exact"/>
        <w:jc w:val="left"/>
        <w:rPr>
          <w:rFonts w:ascii="宋体" w:hAnsi="宋体"/>
          <w:b/>
          <w:sz w:val="24"/>
        </w:rPr>
      </w:pPr>
      <w:r>
        <w:rPr>
          <w:rFonts w:hint="eastAsia" w:ascii="宋体" w:hAnsi="宋体"/>
          <w:sz w:val="24"/>
        </w:rPr>
        <w:t xml:space="preserve">  </w:t>
      </w:r>
      <w:r>
        <w:rPr>
          <w:rFonts w:hint="eastAsia" w:ascii="宋体" w:hAnsi="宋体"/>
          <w:sz w:val="24"/>
          <w:lang w:val="en-US" w:eastAsia="zh-CN"/>
        </w:rPr>
        <w:t xml:space="preserve"> 4</w:t>
      </w:r>
      <w:r>
        <w:rPr>
          <w:rFonts w:hint="eastAsia" w:ascii="宋体" w:hAnsi="宋体"/>
          <w:b/>
          <w:sz w:val="24"/>
        </w:rPr>
        <w:t>.投标人履行合同的能力（</w:t>
      </w:r>
      <w:r>
        <w:rPr>
          <w:rFonts w:hint="eastAsia" w:ascii="宋体" w:hAnsi="宋体"/>
          <w:b/>
          <w:sz w:val="24"/>
          <w:lang w:val="en-US" w:eastAsia="zh-CN"/>
        </w:rPr>
        <w:t>9</w:t>
      </w:r>
      <w:r>
        <w:rPr>
          <w:rFonts w:hint="eastAsia" w:ascii="宋体" w:hAnsi="宋体"/>
          <w:b/>
          <w:sz w:val="24"/>
        </w:rPr>
        <w:t xml:space="preserve">分）        </w:t>
      </w:r>
    </w:p>
    <w:p>
      <w:pPr>
        <w:tabs>
          <w:tab w:val="left" w:pos="0"/>
          <w:tab w:val="left" w:pos="600"/>
          <w:tab w:val="left" w:pos="993"/>
          <w:tab w:val="left" w:pos="1134"/>
        </w:tabs>
        <w:adjustRightInd w:val="0"/>
        <w:snapToGrid w:val="0"/>
        <w:spacing w:line="380" w:lineRule="exact"/>
        <w:ind w:firstLine="480" w:firstLineChars="200"/>
        <w:jc w:val="left"/>
        <w:rPr>
          <w:rFonts w:hint="default" w:ascii="宋体" w:hAnsi="宋体" w:eastAsia="宋体"/>
          <w:sz w:val="24"/>
          <w:lang w:val="en-US" w:eastAsia="zh-CN"/>
        </w:rPr>
      </w:pPr>
      <w:r>
        <w:rPr>
          <w:rFonts w:hint="eastAsia" w:ascii="宋体" w:hAnsi="宋体"/>
          <w:sz w:val="24"/>
        </w:rPr>
        <w:t>（1）</w:t>
      </w:r>
      <w:r>
        <w:rPr>
          <w:rFonts w:hint="eastAsia" w:hAnsi="宋体"/>
          <w:sz w:val="24"/>
        </w:rPr>
        <w:t>具备</w:t>
      </w:r>
      <w:r>
        <w:rPr>
          <w:rFonts w:hAnsi="宋体"/>
          <w:sz w:val="24"/>
        </w:rPr>
        <w:t>中国</w:t>
      </w:r>
      <w:r>
        <w:rPr>
          <w:rFonts w:hint="eastAsia" w:hAnsi="宋体"/>
          <w:sz w:val="24"/>
        </w:rPr>
        <w:t>网络安全审查技术与认证中心</w:t>
      </w:r>
      <w:r>
        <w:rPr>
          <w:rFonts w:hAnsi="宋体"/>
          <w:sz w:val="24"/>
        </w:rPr>
        <w:t>颁发的符合</w:t>
      </w:r>
      <w:r>
        <w:rPr>
          <w:sz w:val="24"/>
        </w:rPr>
        <w:t xml:space="preserve">GB/T 20945-2013 </w:t>
      </w:r>
      <w:r>
        <w:rPr>
          <w:rFonts w:hAnsi="宋体"/>
          <w:sz w:val="24"/>
        </w:rPr>
        <w:t>《信息安全技术</w:t>
      </w:r>
      <w:r>
        <w:rPr>
          <w:rFonts w:hint="eastAsia" w:hAnsi="宋体"/>
          <w:sz w:val="24"/>
        </w:rPr>
        <w:t>信息系统安全审计</w:t>
      </w:r>
      <w:r>
        <w:rPr>
          <w:rFonts w:hAnsi="宋体"/>
          <w:sz w:val="24"/>
        </w:rPr>
        <w:t>产品技术要求》</w:t>
      </w:r>
      <w:r>
        <w:rPr>
          <w:rFonts w:hint="eastAsia" w:hAnsi="宋体"/>
          <w:sz w:val="24"/>
          <w:lang w:eastAsia="zh-CN"/>
        </w:rPr>
        <w:t>；</w:t>
      </w:r>
      <w:r>
        <w:rPr>
          <w:rFonts w:hint="eastAsia" w:hAnsi="宋体"/>
          <w:kern w:val="0"/>
          <w:sz w:val="24"/>
          <w:lang w:eastAsia="zh-CN"/>
        </w:rPr>
        <w:t>得</w:t>
      </w:r>
      <w:r>
        <w:rPr>
          <w:rFonts w:hint="eastAsia" w:hAnsi="宋体"/>
          <w:kern w:val="0"/>
          <w:sz w:val="24"/>
          <w:lang w:val="en-US" w:eastAsia="zh-CN"/>
        </w:rPr>
        <w:t>3分；</w:t>
      </w:r>
    </w:p>
    <w:p>
      <w:pPr>
        <w:widowControl/>
        <w:spacing w:line="360" w:lineRule="auto"/>
        <w:ind w:firstLine="480" w:firstLineChars="200"/>
        <w:rPr>
          <w:rFonts w:hint="default" w:eastAsia="宋体"/>
          <w:kern w:val="0"/>
          <w:sz w:val="24"/>
          <w:lang w:val="en-US" w:eastAsia="zh-CN"/>
        </w:rPr>
      </w:pPr>
      <w:r>
        <w:rPr>
          <w:rFonts w:ascii="宋体" w:hAnsi="宋体"/>
          <w:sz w:val="24"/>
        </w:rPr>
        <w:t>（</w:t>
      </w:r>
      <w:r>
        <w:rPr>
          <w:rFonts w:hint="eastAsia" w:ascii="宋体" w:hAnsi="宋体"/>
          <w:sz w:val="24"/>
        </w:rPr>
        <w:t>2</w:t>
      </w:r>
      <w:r>
        <w:rPr>
          <w:rFonts w:ascii="宋体" w:hAnsi="宋体"/>
          <w:sz w:val="24"/>
        </w:rPr>
        <w:t>）</w:t>
      </w:r>
      <w:r>
        <w:rPr>
          <w:rFonts w:hint="eastAsia"/>
          <w:kern w:val="0"/>
          <w:sz w:val="24"/>
        </w:rPr>
        <w:t>具备全球IPv6测试中心颁发的《IPv6 Ready Logo 认证》证书</w:t>
      </w:r>
      <w:r>
        <w:rPr>
          <w:rFonts w:hint="eastAsia"/>
          <w:kern w:val="0"/>
          <w:sz w:val="24"/>
          <w:lang w:eastAsia="zh-CN"/>
        </w:rPr>
        <w:t>，得</w:t>
      </w:r>
      <w:r>
        <w:rPr>
          <w:rFonts w:hint="eastAsia"/>
          <w:kern w:val="0"/>
          <w:sz w:val="24"/>
          <w:lang w:val="en-US" w:eastAsia="zh-CN"/>
        </w:rPr>
        <w:t>2分</w:t>
      </w:r>
    </w:p>
    <w:p>
      <w:pPr>
        <w:widowControl/>
        <w:spacing w:line="360" w:lineRule="auto"/>
        <w:ind w:firstLine="480" w:firstLineChars="200"/>
        <w:rPr>
          <w:rFonts w:hint="default" w:eastAsia="宋体"/>
          <w:kern w:val="0"/>
          <w:sz w:val="24"/>
          <w:lang w:val="en-US" w:eastAsia="zh-CN"/>
        </w:rPr>
      </w:pPr>
      <w:r>
        <w:rPr>
          <w:rFonts w:hint="eastAsia"/>
          <w:kern w:val="0"/>
          <w:sz w:val="24"/>
          <w:lang w:eastAsia="zh-CN"/>
        </w:rPr>
        <w:t>（</w:t>
      </w:r>
      <w:r>
        <w:rPr>
          <w:rFonts w:hint="eastAsia"/>
          <w:kern w:val="0"/>
          <w:sz w:val="24"/>
          <w:lang w:val="en-US" w:eastAsia="zh-CN"/>
        </w:rPr>
        <w:t>3</w:t>
      </w:r>
      <w:r>
        <w:rPr>
          <w:rFonts w:hint="eastAsia"/>
          <w:kern w:val="0"/>
          <w:sz w:val="24"/>
          <w:lang w:eastAsia="zh-CN"/>
        </w:rPr>
        <w:t>）</w:t>
      </w:r>
      <w:r>
        <w:rPr>
          <w:rFonts w:hint="eastAsia"/>
          <w:kern w:val="0"/>
          <w:sz w:val="24"/>
        </w:rPr>
        <w:t>厂家具备足够的信息安全服务技术实力及安全服务保障能力，获得中国网络安全审查技术与认证中心颁发的信息系统安全运维一级服务资质证书</w:t>
      </w:r>
      <w:r>
        <w:rPr>
          <w:rFonts w:hint="eastAsia"/>
          <w:kern w:val="0"/>
          <w:sz w:val="24"/>
          <w:lang w:eastAsia="zh-CN"/>
        </w:rPr>
        <w:t>，得</w:t>
      </w:r>
      <w:r>
        <w:rPr>
          <w:rFonts w:hint="eastAsia"/>
          <w:kern w:val="0"/>
          <w:sz w:val="24"/>
          <w:lang w:val="en-US" w:eastAsia="zh-CN"/>
        </w:rPr>
        <w:t>2分；</w:t>
      </w:r>
    </w:p>
    <w:p>
      <w:pPr>
        <w:widowControl/>
        <w:spacing w:line="360" w:lineRule="auto"/>
        <w:ind w:left="539" w:leftChars="228" w:hanging="60" w:hangingChars="25"/>
        <w:jc w:val="left"/>
        <w:rPr>
          <w:rFonts w:hAnsi="宋体"/>
          <w:kern w:val="0"/>
          <w:sz w:val="24"/>
        </w:rPr>
      </w:pPr>
      <w:r>
        <w:rPr>
          <w:rFonts w:hint="eastAsia"/>
          <w:kern w:val="0"/>
          <w:sz w:val="24"/>
          <w:lang w:eastAsia="zh-CN"/>
        </w:rPr>
        <w:t>（</w:t>
      </w:r>
      <w:r>
        <w:rPr>
          <w:rFonts w:hint="eastAsia"/>
          <w:kern w:val="0"/>
          <w:sz w:val="24"/>
          <w:lang w:val="en-US" w:eastAsia="zh-CN"/>
        </w:rPr>
        <w:t>4</w:t>
      </w:r>
      <w:r>
        <w:rPr>
          <w:rFonts w:hint="eastAsia"/>
          <w:kern w:val="0"/>
          <w:sz w:val="24"/>
          <w:lang w:eastAsia="zh-CN"/>
        </w:rPr>
        <w:t>）</w:t>
      </w:r>
      <w:r>
        <w:rPr>
          <w:rFonts w:hAnsi="宋体"/>
          <w:kern w:val="0"/>
          <w:sz w:val="24"/>
        </w:rPr>
        <w:t xml:space="preserve"> </w:t>
      </w:r>
      <w:r>
        <w:rPr>
          <w:rFonts w:hint="eastAsia" w:hAnsi="宋体"/>
          <w:sz w:val="24"/>
        </w:rPr>
        <w:t>厂商</w:t>
      </w:r>
      <w:r>
        <w:rPr>
          <w:rFonts w:hAnsi="宋体"/>
          <w:sz w:val="24"/>
        </w:rPr>
        <w:t>具有符合</w:t>
      </w:r>
      <w:r>
        <w:rPr>
          <w:rFonts w:hint="eastAsia"/>
          <w:sz w:val="24"/>
        </w:rPr>
        <w:t>ISO/IEC</w:t>
      </w:r>
      <w:r>
        <w:rPr>
          <w:sz w:val="24"/>
        </w:rPr>
        <w:t xml:space="preserve"> 20000</w:t>
      </w:r>
      <w:r>
        <w:rPr>
          <w:rFonts w:hint="eastAsia"/>
          <w:sz w:val="24"/>
        </w:rPr>
        <w:t>-</w:t>
      </w:r>
      <w:r>
        <w:rPr>
          <w:sz w:val="24"/>
        </w:rPr>
        <w:t>1</w:t>
      </w:r>
      <w:r>
        <w:rPr>
          <w:rFonts w:hint="eastAsia"/>
          <w:sz w:val="24"/>
        </w:rPr>
        <w:t>:2</w:t>
      </w:r>
      <w:r>
        <w:rPr>
          <w:sz w:val="24"/>
        </w:rPr>
        <w:t>011</w:t>
      </w:r>
      <w:r>
        <w:rPr>
          <w:rFonts w:hAnsi="宋体"/>
          <w:sz w:val="24"/>
        </w:rPr>
        <w:t>标准的《</w:t>
      </w:r>
      <w:r>
        <w:rPr>
          <w:rFonts w:hint="eastAsia" w:hAnsi="宋体"/>
          <w:sz w:val="24"/>
        </w:rPr>
        <w:t>服务管理</w:t>
      </w:r>
      <w:r>
        <w:rPr>
          <w:rFonts w:hAnsi="宋体"/>
          <w:sz w:val="24"/>
        </w:rPr>
        <w:t>体系认证证书》</w:t>
      </w:r>
      <w:r>
        <w:rPr>
          <w:rFonts w:hint="eastAsia" w:hAnsi="宋体"/>
          <w:kern w:val="0"/>
          <w:sz w:val="24"/>
          <w:lang w:eastAsia="zh-CN"/>
        </w:rPr>
        <w:t>，</w:t>
      </w:r>
      <w:r>
        <w:rPr>
          <w:rFonts w:hint="eastAsia"/>
          <w:kern w:val="0"/>
          <w:sz w:val="24"/>
          <w:lang w:eastAsia="zh-CN"/>
        </w:rPr>
        <w:t>得</w:t>
      </w:r>
      <w:r>
        <w:rPr>
          <w:rFonts w:hint="eastAsia"/>
          <w:kern w:val="0"/>
          <w:sz w:val="24"/>
          <w:lang w:val="en-US" w:eastAsia="zh-CN"/>
        </w:rPr>
        <w:t>2分。</w:t>
      </w:r>
    </w:p>
    <w:p>
      <w:pPr>
        <w:tabs>
          <w:tab w:val="left" w:pos="0"/>
          <w:tab w:val="left" w:pos="600"/>
          <w:tab w:val="left" w:pos="993"/>
          <w:tab w:val="left" w:pos="1134"/>
        </w:tabs>
        <w:adjustRightInd w:val="0"/>
        <w:snapToGrid w:val="0"/>
        <w:spacing w:line="380" w:lineRule="exact"/>
        <w:ind w:firstLine="482" w:firstLineChars="200"/>
        <w:jc w:val="left"/>
        <w:rPr>
          <w:rFonts w:hint="default" w:ascii="宋体" w:hAnsi="宋体"/>
          <w:b/>
          <w:sz w:val="24"/>
          <w:lang w:val="en-US" w:eastAsia="zh-CN"/>
        </w:rPr>
      </w:pPr>
      <w:r>
        <w:rPr>
          <w:rFonts w:hint="eastAsia" w:ascii="宋体" w:hAnsi="宋体"/>
          <w:b/>
          <w:sz w:val="24"/>
          <w:lang w:val="en-US" w:eastAsia="zh-CN"/>
        </w:rPr>
        <w:t>5.业绩</w:t>
      </w:r>
      <w:r>
        <w:rPr>
          <w:rFonts w:hint="eastAsia" w:ascii="宋体" w:hAnsi="宋体"/>
          <w:b/>
          <w:sz w:val="24"/>
        </w:rPr>
        <w:t>（</w:t>
      </w:r>
      <w:r>
        <w:rPr>
          <w:rFonts w:hint="eastAsia" w:ascii="宋体" w:hAnsi="宋体"/>
          <w:b/>
          <w:sz w:val="24"/>
          <w:lang w:val="en-US" w:eastAsia="zh-CN"/>
        </w:rPr>
        <w:t>10</w:t>
      </w:r>
      <w:r>
        <w:rPr>
          <w:rFonts w:hint="eastAsia" w:ascii="宋体" w:hAnsi="宋体"/>
          <w:b/>
          <w:sz w:val="24"/>
        </w:rPr>
        <w:t>分）</w:t>
      </w:r>
    </w:p>
    <w:p>
      <w:pPr>
        <w:tabs>
          <w:tab w:val="left" w:pos="0"/>
          <w:tab w:val="left" w:pos="600"/>
          <w:tab w:val="left" w:pos="993"/>
          <w:tab w:val="left" w:pos="1134"/>
        </w:tabs>
        <w:adjustRightInd w:val="0"/>
        <w:snapToGrid w:val="0"/>
        <w:spacing w:line="380" w:lineRule="exact"/>
        <w:ind w:firstLine="480" w:firstLineChars="200"/>
        <w:jc w:val="left"/>
        <w:rPr>
          <w:rFonts w:ascii="宋体" w:hAnsi="宋体"/>
          <w:b/>
          <w:bCs/>
          <w:sz w:val="24"/>
          <w:szCs w:val="24"/>
        </w:rPr>
      </w:pP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hAnsi="宋体"/>
          <w:sz w:val="24"/>
        </w:rPr>
        <w:t>每个合同得（提供复印件即可，原件备查）2分，最高</w:t>
      </w:r>
      <w:r>
        <w:rPr>
          <w:rFonts w:hint="eastAsia" w:hAnsi="宋体"/>
          <w:sz w:val="24"/>
          <w:lang w:val="en-US" w:eastAsia="zh-CN"/>
        </w:rPr>
        <w:t>10</w:t>
      </w:r>
      <w:r>
        <w:rPr>
          <w:rFonts w:hint="eastAsia" w:hAnsi="宋体"/>
          <w:sz w:val="24"/>
        </w:rPr>
        <w:t>分。(</w:t>
      </w:r>
      <w:r>
        <w:rPr>
          <w:rFonts w:hint="eastAsia" w:hAnsi="宋体"/>
          <w:sz w:val="24"/>
          <w:lang w:val="en-US" w:eastAsia="zh-CN"/>
        </w:rPr>
        <w:t>10</w:t>
      </w:r>
      <w:r>
        <w:rPr>
          <w:rFonts w:hint="eastAsia" w:hAnsi="宋体"/>
          <w:sz w:val="24"/>
        </w:rPr>
        <w:t>分)</w:t>
      </w:r>
    </w:p>
    <w:bookmarkEnd w:id="29"/>
    <w:bookmarkEnd w:id="30"/>
    <w:bookmarkEnd w:id="34"/>
    <w:bookmarkEnd w:id="35"/>
    <w:bookmarkEnd w:id="36"/>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bookmarkStart w:id="58" w:name="_GoBack"/>
      <w:bookmarkEnd w:id="58"/>
      <w:r>
        <w:rPr>
          <w:rFonts w:hint="eastAsia" w:ascii="宋体" w:hAnsi="宋体" w:cs="宋体"/>
          <w:bCs/>
          <w:sz w:val="44"/>
        </w:rPr>
        <w:t>第六章  投标文件格式</w:t>
      </w:r>
    </w:p>
    <w:p>
      <w:pPr>
        <w:jc w:val="center"/>
        <w:rPr>
          <w:rFonts w:hint="eastAsia" w:ascii="宋体" w:hAnsi="宋体" w:cs="宋体"/>
          <w:b/>
          <w:sz w:val="72"/>
        </w:rPr>
      </w:pPr>
      <w:bookmarkStart w:id="38" w:name="_Hlt26955039"/>
      <w:bookmarkEnd w:id="38"/>
      <w:bookmarkStart w:id="39" w:name="_Hlt26671244"/>
      <w:bookmarkEnd w:id="39"/>
      <w:bookmarkStart w:id="40" w:name="_Toc49090576"/>
      <w:bookmarkStart w:id="41" w:name="_Toc26554094"/>
      <w:bookmarkStart w:id="42" w:name="_Toc120614282"/>
    </w:p>
    <w:p>
      <w:pPr>
        <w:jc w:val="center"/>
        <w:rPr>
          <w:rFonts w:hint="eastAsia" w:ascii="宋体" w:hAnsi="宋体" w:cs="宋体"/>
          <w:b/>
          <w:sz w:val="72"/>
        </w:rPr>
      </w:pPr>
      <w:r>
        <w:rPr>
          <w:rFonts w:hint="eastAsia" w:ascii="宋体" w:hAnsi="宋体" w:cs="宋体"/>
          <w:b/>
          <w:sz w:val="72"/>
        </w:rPr>
        <w:t>投  标  文  件</w:t>
      </w:r>
    </w:p>
    <w:p>
      <w:pPr>
        <w:jc w:val="center"/>
        <w:rPr>
          <w:rFonts w:hint="eastAsia" w:ascii="宋体" w:hAnsi="宋体" w:cs="宋体"/>
          <w:b/>
          <w:sz w:val="72"/>
        </w:rPr>
      </w:pPr>
    </w:p>
    <w:p>
      <w:pPr>
        <w:jc w:val="center"/>
        <w:rPr>
          <w:rFonts w:hint="eastAsia" w:ascii="宋体" w:hAnsi="宋体" w:cs="宋体"/>
          <w:b/>
          <w:sz w:val="72"/>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ind w:firstLine="2530" w:firstLineChars="700"/>
        <w:rPr>
          <w:rFonts w:hint="eastAsia" w:ascii="宋体" w:hAnsi="宋体" w:cs="宋体"/>
          <w:b/>
          <w:sz w:val="36"/>
        </w:rPr>
      </w:pPr>
      <w:r>
        <w:rPr>
          <w:rFonts w:hint="eastAsia" w:ascii="宋体" w:hAnsi="宋体" w:cs="宋体"/>
          <w:b/>
          <w:sz w:val="36"/>
        </w:rPr>
        <w:t>项 目 名 称：</w:t>
      </w:r>
      <w:r>
        <w:rPr>
          <w:rFonts w:hint="eastAsia" w:ascii="宋体" w:hAnsi="宋体" w:cs="宋体"/>
          <w:b/>
          <w:sz w:val="36"/>
          <w:u w:val="single"/>
        </w:rPr>
        <w:t xml:space="preserve">               </w:t>
      </w:r>
    </w:p>
    <w:p>
      <w:pPr>
        <w:ind w:firstLine="2530" w:firstLineChars="700"/>
        <w:rPr>
          <w:rFonts w:hint="eastAsia" w:ascii="宋体" w:hAnsi="宋体" w:cs="宋体"/>
          <w:b/>
          <w:sz w:val="36"/>
          <w:u w:val="single"/>
        </w:rPr>
      </w:pPr>
      <w:r>
        <w:rPr>
          <w:rFonts w:hint="eastAsia" w:ascii="宋体" w:hAnsi="宋体" w:cs="宋体"/>
          <w:b/>
          <w:sz w:val="36"/>
        </w:rPr>
        <w:t>项 目 编 号：</w:t>
      </w:r>
      <w:r>
        <w:rPr>
          <w:rFonts w:hint="eastAsia" w:ascii="宋体" w:hAnsi="宋体" w:cs="宋体"/>
          <w:b/>
          <w:sz w:val="36"/>
          <w:u w:val="single"/>
        </w:rPr>
        <w:t xml:space="preserve">               </w:t>
      </w: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u w:val="single"/>
        </w:rPr>
      </w:pPr>
      <w:r>
        <w:rPr>
          <w:rFonts w:hint="eastAsia" w:ascii="宋体" w:hAnsi="宋体" w:cs="宋体"/>
          <w:b/>
          <w:sz w:val="36"/>
        </w:rPr>
        <w:t xml:space="preserve">             投标人名称 ：</w:t>
      </w:r>
      <w:r>
        <w:rPr>
          <w:rFonts w:hint="eastAsia" w:ascii="宋体" w:hAnsi="宋体" w:cs="宋体"/>
          <w:b/>
          <w:sz w:val="36"/>
          <w:u w:val="single"/>
        </w:rPr>
        <w:t xml:space="preserve">               </w:t>
      </w:r>
    </w:p>
    <w:p>
      <w:pPr>
        <w:rPr>
          <w:rFonts w:hint="eastAsia"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p>
    <w:p>
      <w:pPr>
        <w:spacing w:line="440" w:lineRule="exact"/>
        <w:jc w:val="center"/>
        <w:rPr>
          <w:rFonts w:hint="eastAsia" w:ascii="宋体" w:hAnsi="宋体" w:cs="宋体"/>
          <w:b/>
          <w:bCs/>
          <w:sz w:val="32"/>
          <w:szCs w:val="32"/>
        </w:rPr>
      </w:pPr>
    </w:p>
    <w:p>
      <w:pPr>
        <w:spacing w:line="440" w:lineRule="exact"/>
        <w:jc w:val="center"/>
        <w:rPr>
          <w:rFonts w:hint="eastAsia" w:ascii="宋体" w:hAnsi="宋体" w:cs="宋体"/>
          <w:b/>
          <w:bCs/>
          <w:sz w:val="32"/>
          <w:szCs w:val="32"/>
        </w:rPr>
      </w:pPr>
      <w:r>
        <w:rPr>
          <w:rFonts w:hint="eastAsia" w:ascii="宋体" w:hAnsi="宋体" w:cs="宋体"/>
          <w:b/>
          <w:bCs/>
          <w:sz w:val="32"/>
          <w:szCs w:val="32"/>
        </w:rPr>
        <w:t>投标主要文件目录</w:t>
      </w:r>
    </w:p>
    <w:p>
      <w:pPr>
        <w:ind w:firstLine="480" w:firstLineChars="200"/>
        <w:rPr>
          <w:rFonts w:hint="eastAsia"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hint="eastAsia"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hint="eastAsia" w:ascii="宋体" w:hAnsi="宋体" w:cs="宋体"/>
          <w:sz w:val="24"/>
        </w:rPr>
      </w:pPr>
      <w:r>
        <w:rPr>
          <w:rFonts w:hint="eastAsia" w:ascii="宋体" w:hAnsi="宋体" w:cs="宋体"/>
          <w:sz w:val="24"/>
        </w:rPr>
        <w:t>三、开标一览表</w:t>
      </w:r>
    </w:p>
    <w:p>
      <w:pPr>
        <w:ind w:firstLine="480" w:firstLineChars="200"/>
        <w:rPr>
          <w:rFonts w:hint="eastAsia"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hint="eastAsia" w:ascii="宋体" w:hAnsi="宋体" w:cs="宋体"/>
          <w:sz w:val="24"/>
        </w:rPr>
      </w:pPr>
      <w:r>
        <w:rPr>
          <w:rFonts w:hint="eastAsia" w:ascii="宋体" w:hAnsi="宋体" w:cs="宋体"/>
          <w:sz w:val="24"/>
        </w:rPr>
        <w:t>五、商务条款响应及偏离表</w:t>
      </w:r>
    </w:p>
    <w:p>
      <w:pPr>
        <w:ind w:firstLine="480" w:firstLineChars="200"/>
        <w:rPr>
          <w:rFonts w:hint="eastAsia" w:ascii="宋体" w:hAnsi="宋体" w:cs="宋体"/>
          <w:sz w:val="24"/>
          <w:szCs w:val="24"/>
        </w:rPr>
      </w:pPr>
      <w:r>
        <w:rPr>
          <w:rFonts w:hint="eastAsia" w:ascii="宋体" w:hAnsi="宋体" w:cs="宋体"/>
          <w:sz w:val="24"/>
          <w:szCs w:val="24"/>
        </w:rPr>
        <w:t>六、投标人业绩情况</w:t>
      </w:r>
    </w:p>
    <w:p>
      <w:pPr>
        <w:ind w:firstLine="480" w:firstLineChars="200"/>
        <w:rPr>
          <w:rFonts w:hint="eastAsia" w:ascii="宋体" w:hAnsi="宋体" w:cs="宋体"/>
          <w:sz w:val="24"/>
        </w:rPr>
      </w:pPr>
      <w:r>
        <w:rPr>
          <w:rFonts w:hint="eastAsia" w:ascii="宋体" w:hAnsi="宋体" w:cs="宋体"/>
          <w:sz w:val="24"/>
        </w:rPr>
        <w:t>七、投标人其它声明及材料</w:t>
      </w: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pStyle w:val="2"/>
        <w:rPr>
          <w:rFonts w:hint="eastAsia"/>
        </w:rPr>
      </w:pPr>
    </w:p>
    <w:bookmarkEnd w:id="40"/>
    <w:bookmarkEnd w:id="41"/>
    <w:bookmarkEnd w:id="42"/>
    <w:p>
      <w:pPr>
        <w:pStyle w:val="5"/>
        <w:ind w:firstLine="3213" w:firstLineChars="1000"/>
        <w:jc w:val="both"/>
        <w:rPr>
          <w:rFonts w:hint="eastAsia" w:ascii="宋体" w:hAnsi="宋体" w:eastAsia="宋体" w:cs="宋体"/>
          <w:bCs w:val="0"/>
          <w:sz w:val="32"/>
          <w:szCs w:val="32"/>
        </w:rPr>
      </w:pPr>
      <w:r>
        <w:rPr>
          <w:rFonts w:hint="eastAsia" w:ascii="宋体" w:hAnsi="宋体" w:eastAsia="宋体" w:cs="宋体"/>
          <w:bCs w:val="0"/>
          <w:sz w:val="32"/>
          <w:szCs w:val="32"/>
        </w:rPr>
        <w:t>一、投标函格式</w:t>
      </w:r>
    </w:p>
    <w:p>
      <w:pPr>
        <w:pStyle w:val="15"/>
        <w:spacing w:before="0" w:after="0" w:line="420" w:lineRule="exact"/>
        <w:ind w:firstLine="0"/>
        <w:rPr>
          <w:rFonts w:hint="eastAsia" w:ascii="宋体" w:hAnsi="宋体" w:cs="宋体"/>
          <w:kern w:val="2"/>
          <w:szCs w:val="21"/>
        </w:rPr>
      </w:pPr>
      <w:r>
        <w:rPr>
          <w:rFonts w:hint="eastAsia" w:ascii="宋体" w:hAnsi="宋体" w:cs="宋体"/>
          <w:kern w:val="2"/>
          <w:szCs w:val="21"/>
        </w:rPr>
        <w:t>致：南京邮电大学通达学院</w:t>
      </w:r>
    </w:p>
    <w:p>
      <w:pPr>
        <w:pStyle w:val="15"/>
        <w:spacing w:before="0" w:after="0" w:line="420" w:lineRule="exact"/>
        <w:ind w:firstLineChars="200"/>
        <w:rPr>
          <w:rFonts w:hint="eastAsia" w:ascii="宋体" w:hAnsi="宋体" w:cs="宋体"/>
          <w:kern w:val="2"/>
          <w:szCs w:val="21"/>
        </w:rPr>
      </w:pPr>
      <w:r>
        <w:rPr>
          <w:rFonts w:hint="eastAsia" w:ascii="宋体" w:hAnsi="宋体" w:cs="宋体"/>
          <w:kern w:val="2"/>
          <w:szCs w:val="21"/>
        </w:rPr>
        <w:t>根据贵方的项目编号为</w:t>
      </w:r>
      <w:r>
        <w:rPr>
          <w:rFonts w:hint="eastAsia" w:ascii="宋体" w:hAnsi="宋体" w:cs="宋体"/>
          <w:b/>
          <w:sz w:val="36"/>
          <w:u w:val="single"/>
        </w:rPr>
        <w:t xml:space="preserve">              </w:t>
      </w:r>
      <w:r>
        <w:rPr>
          <w:rFonts w:hint="eastAsia" w:ascii="宋体" w:hAnsi="宋体" w:cs="宋体"/>
          <w:kern w:val="2"/>
          <w:szCs w:val="21"/>
          <w:lang w:eastAsia="zh-CN"/>
        </w:rPr>
        <w:t>采购文件</w:t>
      </w:r>
      <w:r>
        <w:rPr>
          <w:rFonts w:hint="eastAsia" w:ascii="宋体" w:hAnsi="宋体" w:cs="宋体"/>
          <w:kern w:val="2"/>
          <w:szCs w:val="21"/>
        </w:rPr>
        <w:t>，正式授权下述签字人_________________</w:t>
      </w:r>
      <w:r>
        <w:rPr>
          <w:rFonts w:hint="eastAsia" w:ascii="宋体" w:hAnsi="宋体" w:cs="宋体"/>
          <w:kern w:val="2"/>
          <w:szCs w:val="21"/>
          <w:u w:val="single"/>
        </w:rPr>
        <w:t xml:space="preserve">   </w:t>
      </w:r>
      <w:r>
        <w:rPr>
          <w:rFonts w:hint="eastAsia" w:ascii="宋体" w:hAnsi="宋体" w:cs="宋体"/>
          <w:kern w:val="2"/>
          <w:szCs w:val="21"/>
        </w:rPr>
        <w:t>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15"/>
        <w:spacing w:before="0" w:after="0" w:line="420" w:lineRule="exact"/>
        <w:ind w:firstLineChars="200"/>
        <w:rPr>
          <w:rFonts w:hint="eastAsia" w:ascii="宋体" w:hAnsi="宋体" w:cs="宋体"/>
          <w:kern w:val="2"/>
          <w:szCs w:val="21"/>
        </w:rPr>
      </w:pPr>
      <w:r>
        <w:rPr>
          <w:rFonts w:hint="eastAsia" w:ascii="宋体" w:hAnsi="宋体" w:cs="宋体"/>
          <w:kern w:val="2"/>
          <w:szCs w:val="21"/>
        </w:rPr>
        <w:t>据此函，__________签字人兹宣布同意如下：</w:t>
      </w:r>
    </w:p>
    <w:p>
      <w:pPr>
        <w:pStyle w:val="15"/>
        <w:spacing w:before="0" w:after="0" w:line="420" w:lineRule="exact"/>
        <w:rPr>
          <w:rFonts w:hint="eastAsia" w:ascii="宋体" w:hAnsi="宋体" w:cs="宋体"/>
          <w:kern w:val="2"/>
          <w:szCs w:val="21"/>
        </w:rPr>
      </w:pPr>
      <w:r>
        <w:rPr>
          <w:rFonts w:hint="eastAsia" w:ascii="宋体" w:hAnsi="宋体" w:cs="宋体"/>
          <w:kern w:val="2"/>
          <w:szCs w:val="21"/>
        </w:rPr>
        <w:t>1.按采购文件规定的各项要求，向买方提供所需货物与服务。</w:t>
      </w:r>
    </w:p>
    <w:p>
      <w:pPr>
        <w:pStyle w:val="15"/>
        <w:spacing w:before="0" w:after="0" w:line="420" w:lineRule="exact"/>
        <w:ind w:firstLineChars="200"/>
        <w:rPr>
          <w:rFonts w:hint="eastAsia" w:ascii="宋体" w:hAnsi="宋体" w:cs="宋体"/>
          <w:kern w:val="2"/>
          <w:szCs w:val="21"/>
        </w:rPr>
      </w:pPr>
      <w:r>
        <w:rPr>
          <w:rFonts w:hint="eastAsia" w:ascii="宋体" w:hAnsi="宋体" w:cs="宋体"/>
          <w:kern w:val="2"/>
          <w:szCs w:val="21"/>
        </w:rPr>
        <w:t>2.我们完全理解贵方不一定将合同授予最低报价的投标人。</w:t>
      </w:r>
    </w:p>
    <w:p>
      <w:pPr>
        <w:pStyle w:val="15"/>
        <w:spacing w:before="0" w:after="0" w:line="420" w:lineRule="exact"/>
        <w:ind w:firstLineChars="200"/>
        <w:rPr>
          <w:rFonts w:hint="eastAsia"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15"/>
        <w:spacing w:before="0" w:after="0" w:line="420" w:lineRule="exact"/>
        <w:rPr>
          <w:rFonts w:hint="eastAsia"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15"/>
        <w:spacing w:before="0" w:after="0" w:line="420" w:lineRule="exact"/>
        <w:rPr>
          <w:rFonts w:hint="eastAsia"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15"/>
        <w:spacing w:before="0" w:after="0" w:line="420" w:lineRule="exact"/>
        <w:rPr>
          <w:rFonts w:hint="eastAsia"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15"/>
        <w:spacing w:before="0" w:after="0" w:line="420" w:lineRule="exact"/>
        <w:rPr>
          <w:rFonts w:hint="eastAsia"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15"/>
        <w:spacing w:before="0" w:after="0" w:line="420" w:lineRule="exact"/>
        <w:ind w:firstLineChars="200"/>
        <w:rPr>
          <w:rFonts w:hint="eastAsia" w:ascii="宋体" w:hAnsi="宋体" w:cs="宋体"/>
          <w:kern w:val="2"/>
          <w:szCs w:val="21"/>
        </w:rPr>
      </w:pPr>
      <w:r>
        <w:rPr>
          <w:rFonts w:hint="eastAsia" w:ascii="宋体" w:hAnsi="宋体" w:cs="宋体"/>
          <w:kern w:val="2"/>
          <w:szCs w:val="21"/>
        </w:rPr>
        <w:t>8.遵守采购文件中要求的收费项目和标准。</w:t>
      </w:r>
    </w:p>
    <w:p>
      <w:pPr>
        <w:pStyle w:val="15"/>
        <w:spacing w:before="0" w:after="0" w:line="420" w:lineRule="exact"/>
        <w:ind w:firstLineChars="200"/>
        <w:rPr>
          <w:rFonts w:hint="eastAsia" w:ascii="宋体" w:hAnsi="宋体" w:cs="宋体"/>
          <w:kern w:val="2"/>
          <w:szCs w:val="21"/>
        </w:rPr>
      </w:pPr>
      <w:r>
        <w:rPr>
          <w:rFonts w:hint="eastAsia" w:ascii="宋体" w:hAnsi="宋体" w:cs="宋体"/>
          <w:kern w:val="2"/>
          <w:szCs w:val="21"/>
        </w:rPr>
        <w:t>9.与本投标有关的正式通讯地址为：</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地        址：</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邮        编：</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电        话：</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传        真：</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投标人开户行：</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账        户： </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投标人授权代表姓名（签字）： </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投标人名称（公章）： </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日        期：________年____月____日</w:t>
      </w:r>
    </w:p>
    <w:p>
      <w:pPr>
        <w:snapToGrid w:val="0"/>
        <w:spacing w:before="50" w:after="145" w:afterLines="50"/>
        <w:jc w:val="left"/>
        <w:rPr>
          <w:rFonts w:hint="eastAsia" w:ascii="宋体" w:hAnsi="宋体" w:cs="宋体"/>
          <w:sz w:val="24"/>
          <w:szCs w:val="20"/>
        </w:rPr>
      </w:pPr>
      <w:r>
        <w:rPr>
          <w:rFonts w:hint="eastAsia" w:ascii="宋体" w:hAnsi="宋体" w:cs="宋体"/>
          <w:sz w:val="44"/>
        </w:rPr>
        <w:t xml:space="preserve">          </w:t>
      </w: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jc w:val="center"/>
        <w:rPr>
          <w:rFonts w:hint="eastAsia" w:ascii="宋体" w:hAnsi="宋体" w:cs="宋体"/>
          <w:b/>
          <w:bCs/>
          <w:sz w:val="24"/>
        </w:rPr>
      </w:pPr>
      <w:bookmarkStart w:id="43" w:name="_Toc462564147"/>
      <w:bookmarkStart w:id="44" w:name="_Toc120614284"/>
      <w:r>
        <w:rPr>
          <w:rFonts w:hint="eastAsia" w:ascii="宋体" w:hAnsi="宋体" w:cs="宋体"/>
          <w:b/>
          <w:sz w:val="32"/>
          <w:szCs w:val="32"/>
        </w:rPr>
        <w:t>二、投标人资质、业绩审核索引表</w:t>
      </w:r>
    </w:p>
    <w:p>
      <w:pPr>
        <w:jc w:val="center"/>
        <w:rPr>
          <w:rFonts w:hint="eastAsia"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rPr>
                <w:rFonts w:hint="eastAsia" w:ascii="宋体" w:hAnsi="宋体" w:cs="宋体"/>
                <w:b/>
              </w:rPr>
            </w:pPr>
            <w:r>
              <w:rPr>
                <w:rFonts w:hint="eastAsia" w:ascii="宋体" w:hAnsi="宋体" w:cs="宋体"/>
                <w:b/>
              </w:rPr>
              <w:t>序号</w:t>
            </w:r>
          </w:p>
        </w:tc>
        <w:tc>
          <w:tcPr>
            <w:tcW w:w="4475" w:type="dxa"/>
            <w:noWrap w:val="0"/>
            <w:vAlign w:val="center"/>
          </w:tcPr>
          <w:p>
            <w:pPr>
              <w:ind w:firstLine="422" w:firstLineChars="200"/>
              <w:jc w:val="center"/>
              <w:rPr>
                <w:rFonts w:hint="eastAsia" w:ascii="宋体" w:hAnsi="宋体" w:cs="宋体"/>
                <w:b/>
              </w:rPr>
            </w:pPr>
            <w:r>
              <w:rPr>
                <w:rFonts w:hint="eastAsia" w:ascii="宋体" w:hAnsi="宋体" w:cs="宋体"/>
                <w:b/>
              </w:rPr>
              <w:t>项目</w:t>
            </w:r>
          </w:p>
        </w:tc>
        <w:tc>
          <w:tcPr>
            <w:tcW w:w="1985" w:type="dxa"/>
            <w:noWrap w:val="0"/>
            <w:vAlign w:val="center"/>
          </w:tcPr>
          <w:p>
            <w:pPr>
              <w:ind w:firstLine="422" w:firstLineChars="200"/>
              <w:jc w:val="center"/>
              <w:rPr>
                <w:rFonts w:hint="eastAsia" w:ascii="宋体" w:hAnsi="宋体" w:cs="宋体"/>
                <w:b/>
              </w:rPr>
            </w:pPr>
            <w:r>
              <w:rPr>
                <w:rFonts w:hint="eastAsia" w:ascii="宋体" w:hAnsi="宋体" w:cs="宋体"/>
                <w:b/>
              </w:rPr>
              <w:t>说明</w:t>
            </w:r>
          </w:p>
        </w:tc>
        <w:tc>
          <w:tcPr>
            <w:tcW w:w="1559" w:type="dxa"/>
            <w:noWrap w:val="0"/>
            <w:vAlign w:val="center"/>
          </w:tcPr>
          <w:p>
            <w:pPr>
              <w:jc w:val="center"/>
              <w:rPr>
                <w:rFonts w:hint="eastAsia"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w:t>
            </w:r>
          </w:p>
        </w:tc>
        <w:tc>
          <w:tcPr>
            <w:tcW w:w="4475" w:type="dxa"/>
            <w:noWrap w:val="0"/>
            <w:vAlign w:val="center"/>
          </w:tcPr>
          <w:p>
            <w:pPr>
              <w:jc w:val="center"/>
              <w:rPr>
                <w:rFonts w:hint="eastAsia" w:ascii="宋体" w:hAnsi="宋体" w:cs="宋体"/>
              </w:rPr>
            </w:pPr>
            <w:r>
              <w:rPr>
                <w:rFonts w:hint="eastAsia" w:ascii="宋体" w:hAnsi="宋体" w:cs="宋体"/>
              </w:rPr>
              <w:t>企业法人营业执照副本复印件</w:t>
            </w:r>
          </w:p>
        </w:tc>
        <w:tc>
          <w:tcPr>
            <w:tcW w:w="1985" w:type="dxa"/>
            <w:noWrap w:val="0"/>
            <w:vAlign w:val="center"/>
          </w:tcPr>
          <w:p>
            <w:pPr>
              <w:jc w:val="center"/>
              <w:rPr>
                <w:rFonts w:hint="eastAsia" w:ascii="宋体" w:hAnsi="宋体" w:cs="宋体"/>
              </w:rPr>
            </w:pPr>
            <w:r>
              <w:rPr>
                <w:rFonts w:hint="eastAsia" w:ascii="宋体" w:hAnsi="宋体" w:cs="宋体"/>
              </w:rPr>
              <w:t>经年检，加盖公司公章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2</w:t>
            </w:r>
          </w:p>
        </w:tc>
        <w:tc>
          <w:tcPr>
            <w:tcW w:w="4475" w:type="dxa"/>
            <w:noWrap w:val="0"/>
            <w:vAlign w:val="center"/>
          </w:tcPr>
          <w:p>
            <w:pPr>
              <w:jc w:val="center"/>
              <w:rPr>
                <w:rFonts w:hint="eastAsia" w:ascii="宋体" w:hAnsi="宋体" w:cs="宋体"/>
              </w:rPr>
            </w:pPr>
            <w:r>
              <w:rPr>
                <w:rFonts w:hint="eastAsia" w:ascii="宋体" w:hAnsi="宋体" w:cs="宋体"/>
              </w:rPr>
              <w:t>税务登记证复印件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3</w:t>
            </w:r>
          </w:p>
        </w:tc>
        <w:tc>
          <w:tcPr>
            <w:tcW w:w="4475" w:type="dxa"/>
            <w:noWrap w:val="0"/>
            <w:vAlign w:val="center"/>
          </w:tcPr>
          <w:p>
            <w:pPr>
              <w:jc w:val="center"/>
              <w:rPr>
                <w:rFonts w:hint="eastAsia" w:ascii="宋体" w:hAnsi="宋体" w:cs="宋体"/>
              </w:rPr>
            </w:pPr>
            <w:r>
              <w:rPr>
                <w:rFonts w:hint="eastAsia" w:ascii="宋体" w:hAnsi="宋体" w:cs="宋体"/>
              </w:rPr>
              <w:t>组织机构代码证复印件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4</w:t>
            </w:r>
          </w:p>
        </w:tc>
        <w:tc>
          <w:tcPr>
            <w:tcW w:w="4475" w:type="dxa"/>
            <w:noWrap w:val="0"/>
            <w:vAlign w:val="center"/>
          </w:tcPr>
          <w:p>
            <w:pPr>
              <w:jc w:val="center"/>
              <w:rPr>
                <w:rFonts w:hint="eastAsia" w:ascii="宋体" w:hAnsi="宋体" w:cs="宋体"/>
              </w:rPr>
            </w:pPr>
            <w:r>
              <w:rPr>
                <w:rFonts w:hint="eastAsia" w:ascii="宋体" w:hAnsi="宋体" w:cs="宋体"/>
              </w:rPr>
              <w:t>法定代表身份证明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5</w:t>
            </w:r>
          </w:p>
        </w:tc>
        <w:tc>
          <w:tcPr>
            <w:tcW w:w="4475" w:type="dxa"/>
            <w:noWrap w:val="0"/>
            <w:vAlign w:val="center"/>
          </w:tcPr>
          <w:p>
            <w:pPr>
              <w:jc w:val="center"/>
              <w:rPr>
                <w:rFonts w:hint="eastAsia"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6</w:t>
            </w:r>
          </w:p>
        </w:tc>
        <w:tc>
          <w:tcPr>
            <w:tcW w:w="4475" w:type="dxa"/>
            <w:noWrap w:val="0"/>
            <w:vAlign w:val="center"/>
          </w:tcPr>
          <w:p>
            <w:pPr>
              <w:jc w:val="center"/>
              <w:rPr>
                <w:rFonts w:hint="eastAsia" w:ascii="宋体" w:hAnsi="宋体" w:cs="宋体"/>
              </w:rPr>
            </w:pPr>
            <w:r>
              <w:rPr>
                <w:rFonts w:hint="eastAsia" w:ascii="宋体" w:hAnsi="宋体" w:cs="宋体"/>
              </w:rPr>
              <w:t>法定代表授权委托书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7</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委托代理人身份证明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8</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原厂质保承诺函</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9</w:t>
            </w:r>
          </w:p>
        </w:tc>
        <w:tc>
          <w:tcPr>
            <w:tcW w:w="4475" w:type="dxa"/>
            <w:noWrap w:val="0"/>
            <w:vAlign w:val="center"/>
          </w:tcPr>
          <w:p>
            <w:pPr>
              <w:jc w:val="center"/>
              <w:rPr>
                <w:rFonts w:hint="eastAsia" w:ascii="宋体" w:hAnsi="宋体" w:cs="宋体"/>
              </w:rPr>
            </w:pPr>
            <w:r>
              <w:rPr>
                <w:rFonts w:hint="eastAsia" w:ascii="宋体" w:hAnsi="宋体" w:cs="宋体"/>
              </w:rPr>
              <w:t>业绩证明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10</w:t>
            </w:r>
          </w:p>
        </w:tc>
        <w:tc>
          <w:tcPr>
            <w:tcW w:w="4475" w:type="dxa"/>
            <w:noWrap w:val="0"/>
            <w:vAlign w:val="center"/>
          </w:tcPr>
          <w:p>
            <w:pPr>
              <w:jc w:val="center"/>
              <w:rPr>
                <w:rFonts w:hint="eastAsia" w:ascii="宋体" w:hAnsi="宋体" w:cs="宋体"/>
              </w:rPr>
            </w:pPr>
            <w:r>
              <w:rPr>
                <w:rFonts w:hint="eastAsia" w:ascii="宋体" w:hAnsi="宋体" w:cs="宋体"/>
              </w:rPr>
              <w:t>企业基本情况（经营规模、经营状况及行业优势）简介及投标人认为有必要提供的其它文件</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11</w:t>
            </w:r>
          </w:p>
        </w:tc>
        <w:tc>
          <w:tcPr>
            <w:tcW w:w="4475" w:type="dxa"/>
            <w:noWrap w:val="0"/>
            <w:vAlign w:val="center"/>
          </w:tcPr>
          <w:p>
            <w:pPr>
              <w:jc w:val="center"/>
              <w:rPr>
                <w:rFonts w:hint="eastAsia" w:ascii="宋体" w:hAnsi="宋体" w:cs="宋体"/>
              </w:rPr>
            </w:pPr>
            <w:r>
              <w:rPr>
                <w:rFonts w:hint="eastAsia" w:ascii="宋体" w:hAnsi="宋体" w:cs="宋体"/>
              </w:rPr>
              <w:t>无违法违规记录声明</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12</w:t>
            </w:r>
          </w:p>
        </w:tc>
        <w:tc>
          <w:tcPr>
            <w:tcW w:w="4475" w:type="dxa"/>
            <w:noWrap w:val="0"/>
            <w:vAlign w:val="center"/>
          </w:tcPr>
          <w:p>
            <w:pPr>
              <w:jc w:val="center"/>
              <w:rPr>
                <w:rFonts w:hint="eastAsia" w:ascii="宋体" w:hAnsi="宋体" w:eastAsia="宋体" w:cs="宋体"/>
                <w:lang w:eastAsia="zh-CN"/>
              </w:rPr>
            </w:pPr>
            <w:r>
              <w:rPr>
                <w:rFonts w:hint="eastAsia" w:ascii="宋体" w:hAnsi="宋体" w:cs="宋体"/>
                <w:lang w:eastAsia="zh-CN"/>
              </w:rPr>
              <w:t>诚信证明</w:t>
            </w:r>
          </w:p>
        </w:tc>
        <w:tc>
          <w:tcPr>
            <w:tcW w:w="1985" w:type="dxa"/>
            <w:noWrap w:val="0"/>
            <w:vAlign w:val="center"/>
          </w:tcPr>
          <w:p>
            <w:pPr>
              <w:jc w:val="center"/>
              <w:rPr>
                <w:rFonts w:hint="eastAsia" w:ascii="宋体" w:hAnsi="宋体" w:cs="宋体"/>
              </w:rPr>
            </w:pPr>
            <w:r>
              <w:rPr>
                <w:rFonts w:hint="eastAsia" w:ascii="宋体" w:hAnsi="宋体" w:cs="宋体"/>
                <w:lang w:eastAsia="zh-CN"/>
              </w:rPr>
              <w:t>网页截图加盖公章</w:t>
            </w:r>
          </w:p>
        </w:tc>
        <w:tc>
          <w:tcPr>
            <w:tcW w:w="1559" w:type="dxa"/>
            <w:noWrap w:val="0"/>
            <w:vAlign w:val="center"/>
          </w:tcPr>
          <w:p>
            <w:pPr>
              <w:ind w:firstLine="422" w:firstLineChars="200"/>
              <w:jc w:val="center"/>
              <w:rPr>
                <w:rFonts w:hint="eastAsia" w:ascii="宋体" w:hAnsi="宋体" w:cs="宋体"/>
                <w:b/>
              </w:rPr>
            </w:pPr>
          </w:p>
        </w:tc>
      </w:tr>
    </w:tbl>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0" w:firstLineChars="1750"/>
        <w:rPr>
          <w:rFonts w:hint="eastAsia" w:ascii="宋体" w:hAnsi="宋体" w:cs="宋体"/>
          <w:sz w:val="24"/>
        </w:rPr>
      </w:pPr>
    </w:p>
    <w:p>
      <w:pPr>
        <w:tabs>
          <w:tab w:val="left" w:pos="5220"/>
        </w:tabs>
        <w:ind w:firstLine="4200" w:firstLineChars="1750"/>
        <w:rPr>
          <w:rFonts w:hint="eastAsia" w:ascii="宋体" w:hAnsi="宋体" w:cs="宋体"/>
          <w:sz w:val="24"/>
          <w:u w:val="single"/>
        </w:rPr>
      </w:pPr>
      <w:r>
        <w:rPr>
          <w:rFonts w:hint="eastAsia" w:ascii="宋体" w:hAnsi="宋体" w:cs="宋体"/>
          <w:sz w:val="24"/>
        </w:rPr>
        <w:t>授权代表（签字）：</w:t>
      </w:r>
      <w:r>
        <w:rPr>
          <w:rFonts w:hint="eastAsia" w:ascii="宋体" w:hAnsi="宋体" w:cs="宋体"/>
          <w:sz w:val="24"/>
          <w:u w:val="single"/>
        </w:rPr>
        <w:t xml:space="preserve">              </w:t>
      </w:r>
    </w:p>
    <w:p>
      <w:pPr>
        <w:tabs>
          <w:tab w:val="left" w:pos="5220"/>
        </w:tabs>
        <w:ind w:firstLine="480" w:firstLineChars="200"/>
        <w:rPr>
          <w:rFonts w:hint="eastAsia" w:ascii="宋体" w:hAnsi="宋体" w:cs="宋体"/>
          <w:sz w:val="24"/>
          <w:u w:val="single"/>
        </w:rPr>
      </w:pPr>
    </w:p>
    <w:p>
      <w:pPr>
        <w:pStyle w:val="8"/>
        <w:tabs>
          <w:tab w:val="left" w:pos="5400"/>
        </w:tabs>
        <w:spacing w:line="400" w:lineRule="exact"/>
        <w:ind w:left="448" w:firstLine="480" w:firstLineChars="200"/>
        <w:rPr>
          <w:rFonts w:hint="eastAsia" w:hAnsi="宋体" w:cs="宋体"/>
          <w:sz w:val="24"/>
        </w:rPr>
      </w:pPr>
      <w:r>
        <w:rPr>
          <w:rFonts w:hint="eastAsia" w:hAnsi="宋体" w:cs="宋体"/>
          <w:sz w:val="24"/>
        </w:rPr>
        <w:t xml:space="preserve">                            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napToGrid w:val="0"/>
        <w:spacing w:before="50" w:after="145" w:afterLines="50"/>
        <w:jc w:val="left"/>
        <w:rPr>
          <w:rFonts w:hint="eastAsia" w:ascii="宋体" w:hAnsi="宋体" w:cs="宋体"/>
          <w:sz w:val="24"/>
          <w:szCs w:val="20"/>
        </w:rPr>
      </w:pP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ind w:firstLine="1920" w:firstLineChars="800"/>
        <w:rPr>
          <w:rFonts w:hint="eastAsia" w:ascii="宋体" w:hAnsi="宋体" w:cs="宋体"/>
          <w:sz w:val="24"/>
          <w:szCs w:val="24"/>
        </w:rPr>
      </w:pPr>
    </w:p>
    <w:p>
      <w:pPr>
        <w:spacing w:line="360" w:lineRule="exact"/>
        <w:ind w:firstLine="480" w:firstLineChars="200"/>
        <w:rPr>
          <w:rFonts w:hint="eastAsia" w:ascii="宋体" w:hAnsi="宋体" w:cs="宋体"/>
          <w:sz w:val="24"/>
          <w:szCs w:val="24"/>
        </w:rPr>
      </w:pPr>
    </w:p>
    <w:p>
      <w:pPr>
        <w:snapToGrid w:val="0"/>
        <w:spacing w:before="50" w:after="145" w:afterLines="50"/>
        <w:jc w:val="center"/>
        <w:rPr>
          <w:rFonts w:hint="eastAsia" w:ascii="宋体" w:hAnsi="宋体" w:cs="宋体"/>
          <w:b/>
          <w:sz w:val="32"/>
          <w:szCs w:val="32"/>
        </w:rPr>
      </w:pPr>
      <w:r>
        <w:rPr>
          <w:rFonts w:hint="eastAsia" w:ascii="宋体" w:hAnsi="宋体" w:cs="宋体"/>
          <w:b/>
          <w:sz w:val="32"/>
          <w:szCs w:val="32"/>
        </w:rPr>
        <w:t>三、法人授权书格式</w:t>
      </w:r>
    </w:p>
    <w:p>
      <w:pPr>
        <w:pStyle w:val="18"/>
        <w:ind w:firstLine="562"/>
        <w:jc w:val="center"/>
        <w:rPr>
          <w:rFonts w:hint="eastAsia" w:ascii="宋体" w:hAnsi="宋体" w:cs="宋体"/>
          <w:b/>
        </w:rPr>
      </w:pP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本授权书声明：____________（供应商名称）授权________________（被授权人的姓名、职务）为我方就</w:t>
      </w:r>
      <w:r>
        <w:rPr>
          <w:rFonts w:hint="eastAsia" w:ascii="宋体" w:hAnsi="宋体" w:cs="宋体"/>
          <w:bCs/>
          <w:sz w:val="24"/>
          <w:u w:val="single"/>
        </w:rPr>
        <w:t xml:space="preserve">           </w:t>
      </w:r>
      <w:r>
        <w:rPr>
          <w:rFonts w:hint="eastAsia" w:ascii="宋体" w:hAnsi="宋体" w:cs="宋体"/>
          <w:bCs/>
          <w:sz w:val="24"/>
        </w:rPr>
        <w:t>（编号）________________________项目采购活动的合法代理人，以本公司名义全权处理一切与该项目采购有关的事务。</w:t>
      </w: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地址：</w:t>
      </w:r>
      <w:r>
        <w:rPr>
          <w:rFonts w:hint="eastAsia" w:ascii="宋体" w:hAnsi="宋体" w:cs="宋体"/>
          <w:bCs/>
          <w:sz w:val="24"/>
          <w:u w:val="single"/>
        </w:rPr>
        <w:t xml:space="preserve">                                         </w:t>
      </w:r>
    </w:p>
    <w:p>
      <w:pPr>
        <w:shd w:val="clear" w:color="auto" w:fill="FFFFFF"/>
        <w:snapToGrid w:val="0"/>
        <w:spacing w:line="460" w:lineRule="exact"/>
        <w:rPr>
          <w:rFonts w:hint="eastAsia" w:ascii="宋体" w:hAnsi="宋体" w:cs="宋体"/>
        </w:rPr>
      </w:pPr>
      <w:r>
        <w:rPr>
          <w:rFonts w:hint="eastAsia" w:ascii="宋体" w:hAnsi="宋体" w:cs="宋体"/>
          <w:bCs/>
          <w:sz w:val="24"/>
        </w:rPr>
        <w:t xml:space="preserve">          日期：______年____月____日</w:t>
      </w:r>
    </w:p>
    <w:p>
      <w:pPr>
        <w:pStyle w:val="18"/>
        <w:rPr>
          <w:rFonts w:hint="eastAsia" w:ascii="宋体" w:hAnsi="宋体" w:cs="宋体"/>
        </w:rPr>
      </w:pPr>
    </w:p>
    <w:p>
      <w:pPr>
        <w:pStyle w:val="7"/>
        <w:jc w:val="center"/>
        <w:rPr>
          <w:rFonts w:hint="eastAsia" w:ascii="宋体" w:hAnsi="宋体" w:cs="宋体"/>
          <w:bCs w:val="0"/>
        </w:rPr>
      </w:pPr>
      <w:r>
        <w:rPr>
          <w:rFonts w:hint="eastAsia" w:ascii="宋体" w:hAnsi="宋体" w:cs="宋体"/>
        </w:rPr>
        <w:br w:type="page"/>
      </w:r>
      <w:bookmarkEnd w:id="43"/>
      <w:bookmarkStart w:id="45" w:name="_Hlt26955070"/>
      <w:bookmarkEnd w:id="45"/>
      <w:bookmarkStart w:id="46" w:name="_格式3__银行出具的资信证明"/>
      <w:bookmarkEnd w:id="46"/>
      <w:bookmarkStart w:id="47" w:name="_Hlt26671380"/>
      <w:bookmarkEnd w:id="47"/>
      <w:r>
        <w:rPr>
          <w:rFonts w:hint="eastAsia" w:ascii="宋体" w:hAnsi="宋体" w:cs="宋体"/>
          <w:bCs w:val="0"/>
        </w:rPr>
        <w:t>四、开标一览表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bl>
    <w:p>
      <w:pPr>
        <w:shd w:val="clear" w:color="auto" w:fill="FFFFFF"/>
        <w:snapToGrid w:val="0"/>
        <w:spacing w:line="360" w:lineRule="auto"/>
        <w:ind w:firstLine="3720" w:firstLineChars="1550"/>
        <w:rPr>
          <w:rFonts w:hint="eastAsia" w:ascii="宋体" w:hAnsi="宋体" w:cs="宋体"/>
          <w:sz w:val="24"/>
        </w:rPr>
      </w:pPr>
    </w:p>
    <w:p>
      <w:pPr>
        <w:shd w:val="clear" w:color="auto" w:fill="FFFFFF"/>
        <w:snapToGrid w:val="0"/>
        <w:spacing w:line="360" w:lineRule="auto"/>
        <w:ind w:firstLine="3720" w:firstLineChars="15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hint="eastAsia"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hint="eastAsia" w:ascii="宋体" w:hAnsi="宋体" w:cs="宋体"/>
          <w:sz w:val="24"/>
          <w:szCs w:val="24"/>
        </w:rPr>
      </w:pPr>
    </w:p>
    <w:p>
      <w:pPr>
        <w:jc w:val="center"/>
        <w:rPr>
          <w:rFonts w:hint="eastAsia"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145" w:beforeLines="50" w:after="290" w:afterLines="100"/>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lang w:eastAsia="zh-CN"/>
              </w:rPr>
              <w:t>采购文件</w:t>
            </w:r>
            <w:r>
              <w:rPr>
                <w:rFonts w:hint="eastAsia" w:ascii="宋体" w:hAnsi="宋体" w:cs="宋体"/>
                <w:sz w:val="24"/>
              </w:rPr>
              <w:t>要求</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bl>
    <w:p>
      <w:pPr>
        <w:shd w:val="clear" w:color="auto" w:fill="FFFFFF"/>
        <w:snapToGrid w:val="0"/>
        <w:rPr>
          <w:rFonts w:hint="eastAsia" w:ascii="宋体" w:hAnsi="宋体" w:cs="宋体"/>
          <w:sz w:val="24"/>
        </w:rPr>
      </w:pPr>
    </w:p>
    <w:p>
      <w:pPr>
        <w:shd w:val="clear" w:color="auto" w:fill="FFFFFF"/>
        <w:snapToGrid w:val="0"/>
        <w:ind w:firstLine="3000" w:firstLineChars="12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注：1、按照基本技术要求详细填列；</w:t>
      </w:r>
    </w:p>
    <w:p>
      <w:pPr>
        <w:spacing w:before="145" w:beforeLines="50" w:after="145" w:afterLines="50"/>
        <w:jc w:val="center"/>
        <w:rPr>
          <w:rFonts w:hint="eastAsia" w:ascii="宋体" w:hAnsi="宋体" w:cs="宋体"/>
          <w:b/>
          <w:sz w:val="32"/>
          <w:szCs w:val="32"/>
        </w:rPr>
      </w:pPr>
      <w:r>
        <w:rPr>
          <w:rFonts w:hint="eastAsia" w:ascii="宋体" w:hAnsi="宋体" w:cs="宋体"/>
          <w:b/>
          <w:sz w:val="36"/>
        </w:rPr>
        <w:br w:type="page"/>
      </w:r>
      <w:bookmarkEnd w:id="44"/>
      <w:bookmarkStart w:id="48" w:name="_Hlt26955054"/>
      <w:bookmarkEnd w:id="48"/>
      <w:r>
        <w:rPr>
          <w:rFonts w:hint="eastAsia" w:ascii="宋体" w:hAnsi="宋体" w:cs="宋体"/>
          <w:b/>
          <w:sz w:val="32"/>
          <w:szCs w:val="32"/>
        </w:rPr>
        <w:t>六、</w:t>
      </w:r>
      <w:bookmarkStart w:id="49" w:name="_格式2__法定代表人授权书"/>
      <w:bookmarkEnd w:id="49"/>
      <w:bookmarkStart w:id="50" w:name="_Toc120614283"/>
      <w:bookmarkStart w:id="51" w:name="_Toc23828478"/>
      <w:bookmarkStart w:id="52" w:name="_Toc22356580"/>
      <w:bookmarkStart w:id="53" w:name="_Toc513029276"/>
      <w:bookmarkStart w:id="54" w:name="_Toc49090577"/>
      <w:bookmarkStart w:id="55" w:name="_Toc460901585"/>
      <w:bookmarkStart w:id="56" w:name="_Toc26554095"/>
      <w:r>
        <w:rPr>
          <w:rFonts w:hint="eastAsia" w:ascii="宋体" w:hAnsi="宋体" w:cs="宋体"/>
          <w:b/>
          <w:sz w:val="32"/>
          <w:szCs w:val="32"/>
        </w:rPr>
        <w:t>商务条款响应及偏离表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序号</w:t>
            </w:r>
          </w:p>
        </w:tc>
        <w:tc>
          <w:tcPr>
            <w:tcW w:w="2976" w:type="dxa"/>
            <w:noWrap w:val="0"/>
            <w:vAlign w:val="center"/>
          </w:tcPr>
          <w:p>
            <w:pPr>
              <w:pStyle w:val="19"/>
              <w:ind w:left="420"/>
              <w:jc w:val="center"/>
              <w:rPr>
                <w:rFonts w:hint="eastAsia" w:hAnsi="宋体"/>
                <w:color w:val="auto"/>
              </w:rPr>
            </w:pPr>
            <w:r>
              <w:rPr>
                <w:rFonts w:hint="eastAsia" w:hAnsi="宋体"/>
                <w:color w:val="auto"/>
              </w:rPr>
              <w:t>项目</w:t>
            </w:r>
          </w:p>
        </w:tc>
        <w:tc>
          <w:tcPr>
            <w:tcW w:w="1985" w:type="dxa"/>
            <w:noWrap w:val="0"/>
            <w:vAlign w:val="center"/>
          </w:tcPr>
          <w:p>
            <w:pPr>
              <w:pStyle w:val="19"/>
              <w:ind w:left="420"/>
              <w:jc w:val="center"/>
              <w:rPr>
                <w:rFonts w:hint="eastAsia" w:hAnsi="宋体"/>
                <w:color w:val="auto"/>
              </w:rPr>
            </w:pPr>
            <w:r>
              <w:rPr>
                <w:rFonts w:hint="eastAsia" w:hAnsi="宋体"/>
                <w:color w:val="auto"/>
                <w:lang w:eastAsia="zh-CN"/>
              </w:rPr>
              <w:t>采购文件</w:t>
            </w:r>
            <w:r>
              <w:rPr>
                <w:rFonts w:hint="eastAsia" w:hAnsi="宋体"/>
                <w:color w:val="auto"/>
              </w:rPr>
              <w:t>中主要商务条款的描述</w:t>
            </w:r>
          </w:p>
        </w:tc>
        <w:tc>
          <w:tcPr>
            <w:tcW w:w="1843" w:type="dxa"/>
            <w:noWrap w:val="0"/>
            <w:vAlign w:val="center"/>
          </w:tcPr>
          <w:p>
            <w:pPr>
              <w:pStyle w:val="19"/>
              <w:ind w:left="420"/>
              <w:jc w:val="center"/>
              <w:rPr>
                <w:rFonts w:hint="eastAsia" w:hAnsi="宋体"/>
                <w:color w:val="auto"/>
              </w:rPr>
            </w:pPr>
            <w:r>
              <w:rPr>
                <w:rFonts w:hint="eastAsia" w:hAnsi="宋体"/>
                <w:color w:val="auto"/>
              </w:rPr>
              <w:t>投标供应商的承诺或说明</w:t>
            </w:r>
          </w:p>
        </w:tc>
        <w:tc>
          <w:tcPr>
            <w:tcW w:w="1687" w:type="dxa"/>
            <w:noWrap w:val="0"/>
            <w:vAlign w:val="center"/>
          </w:tcPr>
          <w:p>
            <w:pPr>
              <w:pStyle w:val="19"/>
              <w:ind w:left="420"/>
              <w:jc w:val="center"/>
              <w:rPr>
                <w:rFonts w:hint="eastAsia"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1</w:t>
            </w:r>
          </w:p>
        </w:tc>
        <w:tc>
          <w:tcPr>
            <w:tcW w:w="2976" w:type="dxa"/>
            <w:noWrap w:val="0"/>
            <w:vAlign w:val="center"/>
          </w:tcPr>
          <w:p>
            <w:pPr>
              <w:pStyle w:val="19"/>
              <w:ind w:left="420"/>
              <w:jc w:val="center"/>
              <w:rPr>
                <w:rFonts w:hint="eastAsia" w:hAnsi="宋体"/>
                <w:color w:val="auto"/>
              </w:rPr>
            </w:pPr>
            <w:r>
              <w:rPr>
                <w:rFonts w:hint="eastAsia" w:hAnsi="宋体"/>
                <w:color w:val="auto"/>
              </w:rPr>
              <w:t>质保期</w:t>
            </w: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2</w:t>
            </w:r>
          </w:p>
        </w:tc>
        <w:tc>
          <w:tcPr>
            <w:tcW w:w="2976" w:type="dxa"/>
            <w:noWrap w:val="0"/>
            <w:vAlign w:val="center"/>
          </w:tcPr>
          <w:p>
            <w:pPr>
              <w:pStyle w:val="19"/>
              <w:ind w:left="420"/>
              <w:jc w:val="center"/>
              <w:rPr>
                <w:rFonts w:hint="eastAsia" w:hAnsi="宋体"/>
                <w:color w:val="auto"/>
              </w:rPr>
            </w:pPr>
            <w:r>
              <w:rPr>
                <w:rFonts w:hint="eastAsia" w:hAnsi="宋体"/>
                <w:color w:val="auto"/>
              </w:rPr>
              <w:t>售后技术服务要求</w:t>
            </w: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3</w:t>
            </w:r>
          </w:p>
        </w:tc>
        <w:tc>
          <w:tcPr>
            <w:tcW w:w="2976" w:type="dxa"/>
            <w:noWrap w:val="0"/>
            <w:vAlign w:val="center"/>
          </w:tcPr>
          <w:p>
            <w:pPr>
              <w:pStyle w:val="19"/>
              <w:ind w:left="420"/>
              <w:jc w:val="center"/>
              <w:rPr>
                <w:rFonts w:hint="eastAsia" w:hAnsi="宋体"/>
                <w:color w:val="auto"/>
              </w:rPr>
            </w:pPr>
            <w:r>
              <w:rPr>
                <w:rFonts w:hint="eastAsia" w:hAnsi="宋体"/>
                <w:color w:val="auto"/>
              </w:rPr>
              <w:t>供货期</w:t>
            </w: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4</w:t>
            </w:r>
          </w:p>
        </w:tc>
        <w:tc>
          <w:tcPr>
            <w:tcW w:w="2976" w:type="dxa"/>
            <w:noWrap w:val="0"/>
            <w:vAlign w:val="center"/>
          </w:tcPr>
          <w:p>
            <w:pPr>
              <w:pStyle w:val="19"/>
              <w:ind w:left="420"/>
              <w:jc w:val="center"/>
              <w:rPr>
                <w:rFonts w:hint="eastAsia" w:hAnsi="宋体"/>
                <w:color w:val="auto"/>
              </w:rPr>
            </w:pPr>
            <w:r>
              <w:rPr>
                <w:rFonts w:hint="eastAsia" w:hAnsi="宋体"/>
                <w:color w:val="auto"/>
              </w:rPr>
              <w:t>交货方式</w:t>
            </w: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5</w:t>
            </w:r>
          </w:p>
        </w:tc>
        <w:tc>
          <w:tcPr>
            <w:tcW w:w="2976" w:type="dxa"/>
            <w:noWrap w:val="0"/>
            <w:vAlign w:val="center"/>
          </w:tcPr>
          <w:p>
            <w:pPr>
              <w:pStyle w:val="19"/>
              <w:ind w:left="420"/>
              <w:jc w:val="center"/>
              <w:rPr>
                <w:rFonts w:hint="eastAsia" w:hAnsi="宋体"/>
                <w:color w:val="auto"/>
              </w:rPr>
            </w:pPr>
            <w:r>
              <w:rPr>
                <w:rFonts w:hint="eastAsia" w:hAnsi="宋体"/>
                <w:color w:val="auto"/>
              </w:rPr>
              <w:t>付款方式</w:t>
            </w: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6</w:t>
            </w:r>
          </w:p>
        </w:tc>
        <w:tc>
          <w:tcPr>
            <w:tcW w:w="2976" w:type="dxa"/>
            <w:noWrap w:val="0"/>
            <w:vAlign w:val="center"/>
          </w:tcPr>
          <w:p>
            <w:pPr>
              <w:pStyle w:val="19"/>
              <w:ind w:left="420"/>
              <w:jc w:val="center"/>
              <w:rPr>
                <w:rFonts w:hint="eastAsia" w:hAnsi="宋体"/>
                <w:color w:val="auto"/>
              </w:rPr>
            </w:pPr>
            <w:r>
              <w:rPr>
                <w:rFonts w:hint="eastAsia" w:hAnsi="宋体"/>
                <w:color w:val="auto"/>
              </w:rPr>
              <w:t>投标货币</w:t>
            </w: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7</w:t>
            </w:r>
          </w:p>
        </w:tc>
        <w:tc>
          <w:tcPr>
            <w:tcW w:w="2976" w:type="dxa"/>
            <w:noWrap w:val="0"/>
            <w:vAlign w:val="center"/>
          </w:tcPr>
          <w:p>
            <w:pPr>
              <w:pStyle w:val="19"/>
              <w:ind w:left="420"/>
              <w:jc w:val="center"/>
              <w:rPr>
                <w:rFonts w:hint="eastAsia" w:hAnsi="宋体"/>
                <w:color w:val="auto"/>
              </w:rPr>
            </w:pPr>
            <w:r>
              <w:rPr>
                <w:rFonts w:hint="eastAsia" w:hAnsi="宋体"/>
                <w:color w:val="auto"/>
              </w:rPr>
              <w:t>备品备件及耗材等要求</w:t>
            </w: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8</w:t>
            </w:r>
          </w:p>
        </w:tc>
        <w:tc>
          <w:tcPr>
            <w:tcW w:w="2976" w:type="dxa"/>
            <w:noWrap w:val="0"/>
            <w:vAlign w:val="center"/>
          </w:tcPr>
          <w:p>
            <w:pPr>
              <w:pStyle w:val="19"/>
              <w:ind w:left="420"/>
              <w:jc w:val="center"/>
              <w:rPr>
                <w:rFonts w:hint="eastAsia" w:hAnsi="宋体"/>
                <w:color w:val="auto"/>
              </w:rPr>
            </w:pPr>
            <w:r>
              <w:rPr>
                <w:rFonts w:hint="eastAsia" w:hAnsi="宋体"/>
                <w:color w:val="auto"/>
              </w:rPr>
              <w:t>培训方式</w:t>
            </w: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p>
        </w:tc>
        <w:tc>
          <w:tcPr>
            <w:tcW w:w="2976" w:type="dxa"/>
            <w:noWrap w:val="0"/>
            <w:vAlign w:val="center"/>
          </w:tcPr>
          <w:p>
            <w:pPr>
              <w:pStyle w:val="19"/>
              <w:ind w:left="420"/>
              <w:jc w:val="center"/>
              <w:rPr>
                <w:rFonts w:hint="eastAsia" w:hAnsi="宋体"/>
                <w:color w:val="auto"/>
              </w:rPr>
            </w:pP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bl>
    <w:p>
      <w:pPr>
        <w:pStyle w:val="19"/>
        <w:spacing w:line="360" w:lineRule="auto"/>
        <w:ind w:left="420" w:firstLine="2520" w:firstLineChars="1050"/>
        <w:rPr>
          <w:rFonts w:hint="eastAsia" w:hAnsi="宋体"/>
          <w:color w:val="auto"/>
        </w:rPr>
      </w:pPr>
      <w:r>
        <w:rPr>
          <w:rFonts w:hint="eastAsia" w:hAnsi="宋体"/>
          <w:color w:val="auto"/>
        </w:rPr>
        <w:t xml:space="preserve">             法定代表人（授权代表）签字：</w:t>
      </w:r>
      <w:r>
        <w:rPr>
          <w:rFonts w:hint="eastAsia" w:hAnsi="宋体"/>
          <w:color w:val="auto"/>
          <w:u w:val="single"/>
        </w:rPr>
        <w:t xml:space="preserve">             </w:t>
      </w:r>
    </w:p>
    <w:p>
      <w:pPr>
        <w:pStyle w:val="19"/>
        <w:spacing w:line="360" w:lineRule="exact"/>
        <w:ind w:left="420"/>
        <w:rPr>
          <w:rFonts w:hint="eastAsia" w:hAnsi="宋体"/>
          <w:color w:val="auto"/>
        </w:rPr>
      </w:pPr>
      <w:r>
        <w:rPr>
          <w:rFonts w:hint="eastAsia" w:hAnsi="宋体"/>
          <w:color w:val="auto"/>
        </w:rPr>
        <w:t>注：</w:t>
      </w:r>
    </w:p>
    <w:p>
      <w:pPr>
        <w:pStyle w:val="19"/>
        <w:spacing w:line="360" w:lineRule="exact"/>
        <w:ind w:left="420" w:firstLine="480" w:firstLineChars="200"/>
        <w:rPr>
          <w:rFonts w:hint="eastAsia" w:hAnsi="宋体"/>
          <w:color w:val="auto"/>
        </w:rPr>
      </w:pPr>
      <w:r>
        <w:rPr>
          <w:rFonts w:hint="eastAsia" w:hAnsi="宋体"/>
          <w:color w:val="auto"/>
        </w:rPr>
        <w:t>1、此表为表样，行数可自行添加，但表式不变；</w:t>
      </w:r>
    </w:p>
    <w:p>
      <w:pPr>
        <w:pStyle w:val="19"/>
        <w:spacing w:line="360" w:lineRule="exact"/>
        <w:ind w:left="420" w:firstLine="480" w:firstLineChars="200"/>
        <w:rPr>
          <w:rFonts w:hint="eastAsia" w:hAnsi="宋体"/>
          <w:color w:val="auto"/>
        </w:rPr>
      </w:pPr>
      <w:r>
        <w:rPr>
          <w:rFonts w:hint="eastAsia" w:hAnsi="宋体"/>
          <w:color w:val="auto"/>
        </w:rPr>
        <w:t>2、投标单位根据项目添加的服务承诺、培训等也请列出；</w:t>
      </w:r>
    </w:p>
    <w:p>
      <w:pPr>
        <w:pStyle w:val="19"/>
        <w:spacing w:line="360" w:lineRule="exact"/>
        <w:ind w:left="420" w:firstLine="480" w:firstLineChars="200"/>
        <w:rPr>
          <w:rFonts w:hint="eastAsia" w:hAnsi="宋体"/>
          <w:color w:val="auto"/>
        </w:rPr>
      </w:pPr>
      <w:r>
        <w:rPr>
          <w:rFonts w:hint="eastAsia" w:hAnsi="宋体"/>
          <w:color w:val="auto"/>
        </w:rPr>
        <w:t>3、是否偏离用符号“+、=、-”分别表示正偏离、完全响应、负偏离；</w:t>
      </w:r>
    </w:p>
    <w:p>
      <w:pPr>
        <w:pStyle w:val="19"/>
        <w:spacing w:line="360" w:lineRule="exact"/>
        <w:ind w:left="420" w:firstLine="480" w:firstLineChars="200"/>
        <w:rPr>
          <w:rFonts w:hint="eastAsia" w:hAnsi="宋体"/>
          <w:color w:val="auto"/>
        </w:rPr>
      </w:pPr>
      <w:r>
        <w:rPr>
          <w:rFonts w:hint="eastAsia" w:hAnsi="宋体"/>
          <w:color w:val="auto"/>
        </w:rPr>
        <w:t>4、投标单位必须仔细阅读</w:t>
      </w:r>
      <w:r>
        <w:rPr>
          <w:rFonts w:hint="eastAsia" w:hAnsi="宋体"/>
          <w:color w:val="auto"/>
          <w:lang w:eastAsia="zh-CN"/>
        </w:rPr>
        <w:t>采购文件</w:t>
      </w:r>
      <w:r>
        <w:rPr>
          <w:rFonts w:hint="eastAsia" w:hAnsi="宋体"/>
          <w:color w:val="auto"/>
        </w:rPr>
        <w:t>中所有商务条款和相关服务要求，并对所有商务条款和服务要求偏离的条目列入上表。投标单位必须根据所将提供服务的实际情况如实填写，评委会如发现有虚假描述的，该投标文件视为无效。</w:t>
      </w:r>
    </w:p>
    <w:bookmarkEnd w:id="50"/>
    <w:bookmarkEnd w:id="51"/>
    <w:bookmarkEnd w:id="52"/>
    <w:bookmarkEnd w:id="53"/>
    <w:bookmarkEnd w:id="54"/>
    <w:bookmarkEnd w:id="55"/>
    <w:bookmarkEnd w:id="56"/>
    <w:p>
      <w:pPr>
        <w:jc w:val="center"/>
        <w:rPr>
          <w:rFonts w:hint="eastAsia"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hint="eastAsia"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snapToGrid w:val="0"/>
        <w:spacing w:line="420" w:lineRule="exact"/>
        <w:jc w:val="center"/>
        <w:rPr>
          <w:rFonts w:hint="eastAsia"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hint="eastAsia" w:ascii="宋体" w:hAnsi="宋体" w:cs="宋体"/>
          <w:b/>
          <w:sz w:val="32"/>
          <w:szCs w:val="32"/>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hint="eastAsia" w:ascii="宋体" w:hAnsi="宋体" w:cs="宋体"/>
          <w:sz w:val="24"/>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法定代表人签字：</w:t>
      </w:r>
      <w:r>
        <w:rPr>
          <w:rFonts w:hint="eastAsia" w:ascii="宋体" w:hAnsi="宋体" w:cs="宋体"/>
          <w:u w:val="single"/>
        </w:rPr>
        <w:t xml:space="preserve">             </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jc w:val="center"/>
        <w:rPr>
          <w:rFonts w:hint="eastAsia"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7" w:name="_Hlt26955041"/>
      <w:bookmarkEnd w:id="57"/>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hint="eastAsia" w:ascii="宋体" w:hAnsi="宋体" w:cs="宋体"/>
          <w:sz w:val="24"/>
          <w:szCs w:val="24"/>
        </w:rPr>
      </w:pPr>
    </w:p>
    <w:p/>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pgNumType w:fmt="decimal"/>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幼圆">
    <w:panose1 w:val="02010509060101010101"/>
    <w:charset w:val="86"/>
    <w:family w:val="modern"/>
    <w:pitch w:val="default"/>
    <w:sig w:usb0="00000001" w:usb1="080E0000" w:usb2="00000000" w:usb3="00000000" w:csb0="00040000" w:csb1="00000000"/>
  </w:font>
  <w:font w:name="PMingLiU">
    <w:panose1 w:val="02020300000000000000"/>
    <w:charset w:val="88"/>
    <w:family w:val="roman"/>
    <w:pitch w:val="default"/>
    <w:sig w:usb0="00000003" w:usb1="082E0000" w:usb2="00000016" w:usb3="00000000" w:csb0="00100001"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87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nstjnN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7skF5HoS3u4QkCrc8YYSdBuN1FXXTauV9+Pe9dN3/T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CnstjnNAQAAlgMAAA4AAAAAAAAAAQAgAAAAHwEAAGRycy9l&#10;Mm9Eb2MueG1sUEsFBgAAAAAGAAYAWQEAAF4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b/>
        <w:i/>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1N/EDPAQAAmQ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FFSYpnBiZ9+fD/9/H36&#10;9Y2gDwXqPFSYd+8xM/bvXY9rM/kBnYl3L4NJX2REMI7yHs/yij4Snh6Vy+vLK0o4hsrLcrm8SijF&#10;02MfIN4JZ0gyahpwellUdvgIcUidUlIt626V1nmC2v7lQMzkKVLnQ4fJiv22H+lsXXNENh0OvqYW&#10;95wS/cGirmlHJiNMxnYy9j6oXZuXKNUD/24fsYncW6owwI6FcWKZ3bhdaSX+vOespz9q/Qh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XU38QM8BAACZAwAADgAAAAAAAAABACAAAAAfAQAAZHJz&#10;L2Uyb0RvYy54bWxQSwUGAAAAAAYABgBZAQAAY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b/>
        <w:i/>
        <w:kern w:val="0"/>
        <w:sz w:val="20"/>
      </w:rPr>
      <w:t xml:space="preserve"> </w:t>
    </w:r>
  </w:p>
  <w:p>
    <w:pP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pPr>
      <w:pStyle w:val="9"/>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hint="eastAsia"/>
      </w:rP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40508"/>
    <w:multiLevelType w:val="multilevel"/>
    <w:tmpl w:val="3E940508"/>
    <w:lvl w:ilvl="0" w:tentative="0">
      <w:start w:val="4"/>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4D991F00"/>
    <w:multiLevelType w:val="multilevel"/>
    <w:tmpl w:val="4D991F0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8DDFE60"/>
    <w:multiLevelType w:val="singleLevel"/>
    <w:tmpl w:val="58DDFE60"/>
    <w:lvl w:ilvl="0" w:tentative="0">
      <w:start w:val="1"/>
      <w:numFmt w:val="chineseCounting"/>
      <w:suff w:val="nothing"/>
      <w:lvlText w:val="%1、"/>
      <w:lvlJc w:val="left"/>
    </w:lvl>
  </w:abstractNum>
  <w:abstractNum w:abstractNumId="3">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804FD"/>
    <w:rsid w:val="01FD0F1A"/>
    <w:rsid w:val="0366499F"/>
    <w:rsid w:val="0417416B"/>
    <w:rsid w:val="066A261C"/>
    <w:rsid w:val="13F9637C"/>
    <w:rsid w:val="149D4767"/>
    <w:rsid w:val="16367209"/>
    <w:rsid w:val="19935D99"/>
    <w:rsid w:val="224E4650"/>
    <w:rsid w:val="23814017"/>
    <w:rsid w:val="248F23AC"/>
    <w:rsid w:val="28422A24"/>
    <w:rsid w:val="28E804FD"/>
    <w:rsid w:val="2974467C"/>
    <w:rsid w:val="2AA550DC"/>
    <w:rsid w:val="2B9E493B"/>
    <w:rsid w:val="2D6E1275"/>
    <w:rsid w:val="2D8C5899"/>
    <w:rsid w:val="2E657BCE"/>
    <w:rsid w:val="2F313A02"/>
    <w:rsid w:val="35467EF4"/>
    <w:rsid w:val="358B76AD"/>
    <w:rsid w:val="35DD2AF4"/>
    <w:rsid w:val="3BF76BED"/>
    <w:rsid w:val="3D16713D"/>
    <w:rsid w:val="3DED6081"/>
    <w:rsid w:val="3DEF12B0"/>
    <w:rsid w:val="3F6F6087"/>
    <w:rsid w:val="40A82832"/>
    <w:rsid w:val="41FB31EE"/>
    <w:rsid w:val="42C8303A"/>
    <w:rsid w:val="446F0737"/>
    <w:rsid w:val="472D0B65"/>
    <w:rsid w:val="4B73395D"/>
    <w:rsid w:val="4C913D80"/>
    <w:rsid w:val="4C940E7B"/>
    <w:rsid w:val="550C3B25"/>
    <w:rsid w:val="5563541B"/>
    <w:rsid w:val="58C57AF2"/>
    <w:rsid w:val="592A17A5"/>
    <w:rsid w:val="5BC468B9"/>
    <w:rsid w:val="5CD341FE"/>
    <w:rsid w:val="60F20420"/>
    <w:rsid w:val="63C52ACF"/>
    <w:rsid w:val="643571D4"/>
    <w:rsid w:val="64F61075"/>
    <w:rsid w:val="650117A0"/>
    <w:rsid w:val="6608084A"/>
    <w:rsid w:val="6CA95F52"/>
    <w:rsid w:val="6FF05E4C"/>
    <w:rsid w:val="75344604"/>
    <w:rsid w:val="75CF21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6"/>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7">
    <w:name w:val="heading 3"/>
    <w:basedOn w:val="1"/>
    <w:next w:val="6"/>
    <w:qFormat/>
    <w:uiPriority w:val="0"/>
    <w:pPr>
      <w:keepNext/>
      <w:keepLines/>
      <w:spacing w:before="260" w:after="260" w:line="416" w:lineRule="auto"/>
      <w:outlineLvl w:val="2"/>
    </w:pPr>
    <w:rPr>
      <w:b/>
      <w:bCs/>
      <w:sz w:val="32"/>
      <w:szCs w:val="32"/>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rPr>
      <w:rFonts w:ascii="宋体"/>
      <w:sz w:val="28"/>
    </w:rPr>
  </w:style>
  <w:style w:type="paragraph" w:styleId="6">
    <w:name w:val="Normal Indent"/>
    <w:basedOn w:val="1"/>
    <w:qFormat/>
    <w:uiPriority w:val="0"/>
    <w:pPr>
      <w:ind w:firstLine="420"/>
    </w:pPr>
  </w:style>
  <w:style w:type="paragraph" w:styleId="8">
    <w:name w:val="Plain Text"/>
    <w:basedOn w:val="1"/>
    <w:qFormat/>
    <w:uiPriority w:val="0"/>
    <w:rPr>
      <w:rFonts w:ascii="宋体" w:hAnsi="Courier New" w:cs="Courier New"/>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page number"/>
    <w:basedOn w:val="13"/>
    <w:qFormat/>
    <w:uiPriority w:val="0"/>
  </w:style>
  <w:style w:type="paragraph" w:customStyle="1" w:styleId="1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6">
    <w:name w:val="列出段落1"/>
    <w:basedOn w:val="1"/>
    <w:qFormat/>
    <w:uiPriority w:val="0"/>
    <w:pPr>
      <w:ind w:leftChars="200"/>
      <w:jc w:val="left"/>
    </w:pPr>
    <w:rPr>
      <w:rFonts w:ascii="Calibri" w:hAnsi="Calibri" w:eastAsia="PMingLiU" w:cs="宋体"/>
      <w:sz w:val="24"/>
      <w:szCs w:val="22"/>
      <w:lang w:eastAsia="zh-TW"/>
    </w:rPr>
  </w:style>
  <w:style w:type="paragraph" w:customStyle="1" w:styleId="17">
    <w:name w:val="pa-0"/>
    <w:basedOn w:val="1"/>
    <w:qFormat/>
    <w:uiPriority w:val="0"/>
    <w:pPr>
      <w:widowControl/>
      <w:spacing w:before="150" w:after="150"/>
      <w:jc w:val="left"/>
    </w:pPr>
    <w:rPr>
      <w:rFonts w:ascii="宋体" w:hAnsi="宋体" w:cs="宋体"/>
      <w:kern w:val="0"/>
      <w:sz w:val="24"/>
      <w:szCs w:val="24"/>
    </w:rPr>
  </w:style>
  <w:style w:type="paragraph" w:customStyle="1" w:styleId="18">
    <w:name w:val="Char"/>
    <w:basedOn w:val="1"/>
    <w:qFormat/>
    <w:uiPriority w:val="0"/>
    <w:pPr>
      <w:tabs>
        <w:tab w:val="left" w:pos="360"/>
      </w:tabs>
    </w:pPr>
    <w:rPr>
      <w:sz w:val="24"/>
      <w:szCs w:val="24"/>
    </w:rPr>
  </w:style>
  <w:style w:type="paragraph" w:customStyle="1" w:styleId="19">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列表段落"/>
    <w:basedOn w:val="1"/>
    <w:qFormat/>
    <w:uiPriority w:val="34"/>
    <w:pPr>
      <w:ind w:firstLine="420" w:firstLineChars="200"/>
    </w:pPr>
    <w:rPr>
      <w:rFonts w:ascii="Calibri" w:hAnsi="Calibri"/>
      <w:szCs w:val="22"/>
    </w:rPr>
  </w:style>
  <w:style w:type="paragraph" w:customStyle="1" w:styleId="21">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2020-07-20T01:26:00Z</dcterms:created>
  <dc:creator>Administrator</dc:creator>
  <cp:lastModifiedBy>┾MR 木〆子</cp:lastModifiedBy>
  <dcterms:modified xsi:type="dcterms:W3CDTF">2020-10-15T09:18:09Z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