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南京邮电大学通达学院校园一卡通运维审计系统采购项目</w:t>
      </w: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ind w:firstLine="0"/>
        <w:jc w:val="center"/>
        <w:rPr>
          <w:rFonts w:hint="eastAsia" w:ascii="宋体" w:hAnsi="宋体" w:cs="宋体"/>
          <w:b/>
          <w:bCs/>
          <w:sz w:val="84"/>
        </w:rPr>
      </w:pPr>
    </w:p>
    <w:p>
      <w:pPr>
        <w:pStyle w:val="15"/>
        <w:ind w:firstLine="0"/>
        <w:jc w:val="center"/>
        <w:rPr>
          <w:rFonts w:hint="eastAsia" w:ascii="宋体" w:hAnsi="宋体" w:cs="宋体"/>
          <w:b/>
          <w:bCs/>
          <w:sz w:val="84"/>
        </w:rPr>
      </w:pPr>
      <w:r>
        <w:rPr>
          <w:rFonts w:hint="eastAsia" w:ascii="宋体" w:hAnsi="宋体" w:cs="宋体"/>
          <w:b/>
          <w:bCs/>
          <w:sz w:val="84"/>
        </w:rPr>
        <w:t>采 购 文 件</w:t>
      </w:r>
    </w:p>
    <w:p>
      <w:pPr>
        <w:pStyle w:val="15"/>
        <w:ind w:firstLine="0"/>
        <w:jc w:val="center"/>
        <w:rPr>
          <w:rFonts w:hint="eastAsia" w:ascii="宋体" w:hAnsi="宋体" w:eastAsia="宋体" w:cs="宋体"/>
          <w:b/>
          <w:sz w:val="36"/>
          <w:szCs w:val="36"/>
          <w:lang w:eastAsia="zh-CN"/>
        </w:rPr>
      </w:pPr>
      <w:r>
        <w:rPr>
          <w:rFonts w:hint="eastAsia" w:ascii="宋体" w:hAnsi="宋体" w:cs="宋体"/>
          <w:b/>
          <w:bCs/>
          <w:sz w:val="32"/>
          <w:lang w:eastAsia="zh-CN"/>
        </w:rPr>
        <w:t>（二次公告）</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20024</w:t>
      </w:r>
    </w:p>
    <w:p>
      <w:pPr>
        <w:pStyle w:val="15"/>
        <w:ind w:firstLine="0"/>
        <w:jc w:val="center"/>
        <w:rPr>
          <w:rFonts w:hint="eastAsia" w:ascii="宋体" w:hAnsi="宋体" w:cs="宋体"/>
          <w:b/>
          <w:sz w:val="36"/>
          <w:szCs w:val="36"/>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10</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513029200"/>
      <w:bookmarkStart w:id="2" w:name="_Toc523127445"/>
      <w:bookmarkStart w:id="3" w:name="_Toc20823272"/>
      <w:bookmarkStart w:id="4" w:name="_Toc16938516"/>
      <w:bookmarkStart w:id="5" w:name="_Toc47975720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5"/>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根据国家招投标的法律法规和南京邮电大学的相关规定，现对南京邮电大学通达学院校园一卡通运维审计系统项目进行公开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采购项目名称及编号：南京邮电大学通达学院校园一卡通运维审计系统采购项目。（项目编号TDHQ20</w:t>
      </w:r>
      <w:r>
        <w:rPr>
          <w:rFonts w:hint="eastAsia"/>
          <w:sz w:val="21"/>
          <w:szCs w:val="21"/>
          <w:lang w:val="en-US" w:eastAsia="zh-CN"/>
        </w:rPr>
        <w:t>20023</w:t>
      </w:r>
      <w:r>
        <w:rPr>
          <w:rFonts w:hint="eastAsia"/>
          <w:sz w:val="21"/>
          <w:szCs w:val="21"/>
        </w:rPr>
        <w:t>），预算为</w:t>
      </w:r>
      <w:r>
        <w:rPr>
          <w:rFonts w:hint="eastAsia"/>
          <w:sz w:val="21"/>
          <w:szCs w:val="21"/>
          <w:lang w:val="en-US" w:eastAsia="zh-CN"/>
        </w:rPr>
        <w:t>19.3</w:t>
      </w:r>
      <w:r>
        <w:rPr>
          <w:rFonts w:hint="eastAsia"/>
          <w:sz w:val="21"/>
          <w:szCs w:val="21"/>
        </w:rPr>
        <w:t>万。</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校园一卡通运维审计系统1套（具体采购数量及要求参见甲方采购文件）。2.项目地点：扬州市润扬南路33号。3.技术条款咨询联系人：黄老师 ，联系电话：0514-89716020。（注：如不咨询，视为已理解该技术指标。）</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480" w:lineRule="exact"/>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1"/>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5.</w:t>
      </w:r>
      <w:r>
        <w:rPr>
          <w:rFonts w:hint="eastAsia"/>
          <w:kern w:val="0"/>
          <w:sz w:val="24"/>
        </w:rPr>
        <w:t>具备中国信息安全测评中心颁发的《国家信息安全测评信息技术产品安全测评证书》, 级别须达到EAL3+及以上</w:t>
      </w:r>
      <w:r>
        <w:rPr>
          <w:rFonts w:hint="eastAsia"/>
          <w:sz w:val="21"/>
          <w:szCs w:val="21"/>
        </w:rPr>
        <w:t xml:space="preserve"> </w:t>
      </w:r>
      <w:r>
        <w:rPr>
          <w:rFonts w:hint="eastAsia"/>
          <w:sz w:val="21"/>
          <w:szCs w:val="21"/>
          <w:lang w:eastAsia="zh-CN"/>
        </w:rPr>
        <w:t>；</w:t>
      </w:r>
    </w:p>
    <w:p>
      <w:pPr>
        <w:pStyle w:val="11"/>
        <w:shd w:val="clear" w:color="auto"/>
        <w:spacing w:before="0" w:beforeAutospacing="0" w:after="0" w:afterAutospacing="0" w:line="480" w:lineRule="exact"/>
        <w:ind w:firstLine="420"/>
        <w:rPr>
          <w:rFonts w:hint="eastAsia"/>
          <w:sz w:val="21"/>
          <w:szCs w:val="21"/>
        </w:rPr>
      </w:pPr>
      <w:r>
        <w:rPr>
          <w:rFonts w:hint="eastAsia"/>
          <w:sz w:val="21"/>
          <w:szCs w:val="21"/>
          <w:lang w:val="en-US" w:eastAsia="zh-CN"/>
        </w:rPr>
        <w:t>6.</w:t>
      </w:r>
      <w:r>
        <w:rPr>
          <w:rFonts w:hAnsi="宋体"/>
          <w:kern w:val="0"/>
          <w:sz w:val="24"/>
        </w:rPr>
        <w:t>具备公安部颁发的《计算机信息系统安全专用产品销售许可证》</w:t>
      </w:r>
      <w:r>
        <w:rPr>
          <w:rFonts w:hint="eastAsia"/>
          <w:sz w:val="21"/>
          <w:szCs w:val="21"/>
        </w:rPr>
        <w:t>；</w:t>
      </w:r>
    </w:p>
    <w:p>
      <w:pPr>
        <w:pStyle w:val="11"/>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7.</w:t>
      </w:r>
      <w:r>
        <w:rPr>
          <w:rFonts w:hAnsi="宋体"/>
          <w:kern w:val="0"/>
          <w:sz w:val="24"/>
        </w:rPr>
        <w:t>厂家具备国家计算机网络应急技术处理协调中心颁发的《网络安全应急服务支撑单位证书（国家级）》</w:t>
      </w:r>
      <w:r>
        <w:rPr>
          <w:rFonts w:hint="eastAsia"/>
          <w:sz w:val="21"/>
          <w:szCs w:val="21"/>
          <w:lang w:eastAsia="zh-CN"/>
        </w:rPr>
        <w:t>；</w:t>
      </w:r>
    </w:p>
    <w:p>
      <w:pPr>
        <w:pStyle w:val="11"/>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8.</w:t>
      </w:r>
      <w:r>
        <w:rPr>
          <w:rFonts w:hint="eastAsia"/>
          <w:sz w:val="21"/>
          <w:szCs w:val="21"/>
        </w:rPr>
        <w:t>本项目不接受联合体投标。</w:t>
      </w:r>
    </w:p>
    <w:p>
      <w:pPr>
        <w:pStyle w:val="11"/>
        <w:shd w:val="clear" w:color="auto" w:fill="FFFFFF"/>
        <w:spacing w:before="0" w:beforeAutospacing="0" w:after="0" w:afterAutospacing="0" w:line="480" w:lineRule="exact"/>
        <w:ind w:firstLine="420"/>
        <w:rPr>
          <w:rFonts w:hint="eastAsia"/>
          <w:sz w:val="21"/>
          <w:szCs w:val="21"/>
        </w:rPr>
      </w:pPr>
    </w:p>
    <w:p>
      <w:pPr>
        <w:pStyle w:val="11"/>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5</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5</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1"/>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1"/>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二十三</w:t>
      </w:r>
      <w:bookmarkStart w:id="58" w:name="_GoBack"/>
      <w:bookmarkEnd w:id="58"/>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5"/>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20823274"/>
      <w:bookmarkStart w:id="9" w:name="_Toc120614213"/>
      <w:bookmarkStart w:id="10" w:name="_Toc513029202"/>
      <w:bookmarkStart w:id="11" w:name="_Toc16938518"/>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513029203"/>
      <w:bookmarkStart w:id="13" w:name="_Toc120614214"/>
      <w:bookmarkStart w:id="14" w:name="_Toc20823275"/>
      <w:bookmarkStart w:id="15" w:name="_Toc16938519"/>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479757207"/>
      <w:bookmarkStart w:id="17" w:name="_Toc16938558"/>
      <w:bookmarkStart w:id="18" w:name="_Toc513029242"/>
      <w:bookmarkStart w:id="19" w:name="_Toc120614221"/>
      <w:bookmarkStart w:id="20" w:name="_Toc20823314"/>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513029243"/>
      <w:bookmarkStart w:id="22" w:name="_Toc20823315"/>
      <w:bookmarkStart w:id="23"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2"/>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Hlt16619350"/>
      <w:bookmarkStart w:id="28" w:name="_Toc120614244"/>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第四章校园一卡通运维审计系统项目技术要求</w:t>
      </w:r>
    </w:p>
    <w:p>
      <w:pPr>
        <w:spacing w:line="360" w:lineRule="auto"/>
        <w:rPr>
          <w:rFonts w:hint="eastAsia"/>
          <w:sz w:val="24"/>
        </w:rPr>
      </w:pPr>
      <w:bookmarkStart w:id="31" w:name="_Toc403722970"/>
      <w:bookmarkStart w:id="32" w:name="_Toc194758350"/>
      <w:bookmarkStart w:id="33" w:name="_Toc194757239"/>
    </w:p>
    <w:p>
      <w:pPr>
        <w:pStyle w:val="4"/>
        <w:numPr>
          <w:ilvl w:val="0"/>
          <w:numId w:val="3"/>
        </w:numPr>
        <w:spacing w:before="0" w:after="0" w:line="360" w:lineRule="auto"/>
        <w:rPr>
          <w:rFonts w:hint="eastAsia"/>
          <w:sz w:val="24"/>
          <w:szCs w:val="24"/>
        </w:rPr>
      </w:pPr>
      <w:r>
        <w:rPr>
          <w:rFonts w:hint="eastAsia"/>
          <w:sz w:val="24"/>
          <w:szCs w:val="24"/>
        </w:rPr>
        <w:t xml:space="preserve">项目介绍 </w:t>
      </w:r>
    </w:p>
    <w:p>
      <w:pPr>
        <w:spacing w:line="360" w:lineRule="auto"/>
        <w:rPr>
          <w:rFonts w:hint="eastAsia" w:cs="Tahoma"/>
          <w:sz w:val="24"/>
        </w:rPr>
      </w:pPr>
      <w:r>
        <w:rPr>
          <w:rFonts w:hint="eastAsia" w:ascii="宋体" w:hAnsi="宋体"/>
          <w:sz w:val="24"/>
        </w:rPr>
        <w:tab/>
      </w:r>
      <w:r>
        <w:rPr>
          <w:rFonts w:hint="eastAsia" w:ascii="宋体" w:hAnsi="宋体"/>
          <w:sz w:val="24"/>
        </w:rPr>
        <w:t>为</w:t>
      </w:r>
      <w:r>
        <w:rPr>
          <w:rFonts w:hint="eastAsia" w:ascii="Arial" w:hAnsi="Arial" w:cs="Arial"/>
          <w:sz w:val="24"/>
          <w:shd w:val="clear" w:color="auto" w:fill="FFFFFF"/>
        </w:rPr>
        <w:t>保障校园一卡通</w:t>
      </w:r>
      <w:r>
        <w:rPr>
          <w:rFonts w:ascii="Arial" w:hAnsi="Arial" w:cs="Arial"/>
          <w:sz w:val="24"/>
          <w:shd w:val="clear" w:color="auto" w:fill="FFFFFF"/>
        </w:rPr>
        <w:t>连续可靠正常地运行，</w:t>
      </w:r>
      <w:r>
        <w:rPr>
          <w:rFonts w:hint="eastAsia" w:ascii="宋体" w:hAnsi="宋体"/>
          <w:sz w:val="24"/>
        </w:rPr>
        <w:t>保障南京邮电大学通达学院校园一卡通</w:t>
      </w:r>
      <w:r>
        <w:rPr>
          <w:rFonts w:ascii="Arial" w:hAnsi="Arial" w:cs="Arial"/>
          <w:sz w:val="24"/>
          <w:shd w:val="clear" w:color="auto" w:fill="FFFFFF"/>
        </w:rPr>
        <w:t>系统</w:t>
      </w:r>
      <w:r>
        <w:rPr>
          <w:rFonts w:hint="eastAsia" w:ascii="Arial" w:hAnsi="Arial" w:cs="Arial"/>
          <w:sz w:val="24"/>
          <w:shd w:val="clear" w:color="auto" w:fill="FFFFFF"/>
        </w:rPr>
        <w:t>安全，拟采购运维审计系统一套，以</w:t>
      </w:r>
      <w:r>
        <w:rPr>
          <w:rFonts w:ascii="Arial" w:hAnsi="Arial" w:cs="Arial"/>
          <w:sz w:val="24"/>
          <w:shd w:val="clear" w:color="auto" w:fill="FFFFFF"/>
        </w:rPr>
        <w:t>将网络中设备和数据库等实施统一认证，实现对操作网络中设备和数据库等过程的全程监控与审计，对违规操作行为的实时阻断。</w:t>
      </w:r>
      <w:r>
        <w:rPr>
          <w:rFonts w:hint="eastAsia" w:cs="Tahoma"/>
          <w:sz w:val="24"/>
        </w:rPr>
        <w:t>协助网络管理人员及时、有效的发现异常安全事件及审计违规。</w:t>
      </w:r>
    </w:p>
    <w:p>
      <w:pPr>
        <w:spacing w:line="360" w:lineRule="auto"/>
        <w:rPr>
          <w:rFonts w:hint="eastAsia" w:ascii="宋体" w:hAnsi="宋体"/>
          <w:sz w:val="24"/>
        </w:rPr>
      </w:pPr>
    </w:p>
    <w:p>
      <w:pPr>
        <w:pStyle w:val="4"/>
        <w:numPr>
          <w:ilvl w:val="0"/>
          <w:numId w:val="3"/>
        </w:numPr>
        <w:spacing w:before="0" w:after="0" w:line="360" w:lineRule="auto"/>
        <w:rPr>
          <w:sz w:val="24"/>
          <w:szCs w:val="24"/>
        </w:rPr>
      </w:pPr>
      <w:r>
        <w:rPr>
          <w:rFonts w:hint="eastAsia"/>
          <w:sz w:val="24"/>
          <w:szCs w:val="24"/>
        </w:rPr>
        <w:t>技术要求</w:t>
      </w:r>
      <w:bookmarkEnd w:id="31"/>
      <w:bookmarkEnd w:id="32"/>
      <w:bookmarkEnd w:id="33"/>
    </w:p>
    <w:tbl>
      <w:tblPr>
        <w:tblStyle w:val="12"/>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16"/>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0" w:type="dxa"/>
            <w:noWrap w:val="0"/>
            <w:vAlign w:val="top"/>
          </w:tcPr>
          <w:p>
            <w:pPr>
              <w:spacing w:line="360" w:lineRule="auto"/>
              <w:jc w:val="center"/>
              <w:rPr>
                <w:rFonts w:hint="eastAsia" w:ascii="宋体" w:hAnsi="宋体"/>
                <w:b/>
                <w:bCs/>
                <w:sz w:val="24"/>
              </w:rPr>
            </w:pPr>
            <w:r>
              <w:rPr>
                <w:rFonts w:hint="eastAsia" w:ascii="宋体" w:hAnsi="宋体"/>
                <w:b/>
                <w:bCs/>
                <w:sz w:val="24"/>
              </w:rPr>
              <w:t>序号</w:t>
            </w:r>
          </w:p>
        </w:tc>
        <w:tc>
          <w:tcPr>
            <w:tcW w:w="1816" w:type="dxa"/>
            <w:noWrap w:val="0"/>
            <w:vAlign w:val="center"/>
          </w:tcPr>
          <w:p>
            <w:pPr>
              <w:spacing w:line="360" w:lineRule="auto"/>
              <w:jc w:val="center"/>
              <w:rPr>
                <w:rFonts w:ascii="宋体" w:hAnsi="宋体"/>
                <w:b/>
                <w:bCs/>
                <w:sz w:val="24"/>
              </w:rPr>
            </w:pPr>
            <w:r>
              <w:rPr>
                <w:rFonts w:hint="eastAsia" w:ascii="宋体" w:hAnsi="宋体"/>
                <w:b/>
                <w:bCs/>
                <w:sz w:val="24"/>
              </w:rPr>
              <w:t>参数名称</w:t>
            </w:r>
          </w:p>
        </w:tc>
        <w:tc>
          <w:tcPr>
            <w:tcW w:w="5859" w:type="dxa"/>
            <w:noWrap w:val="0"/>
            <w:vAlign w:val="center"/>
          </w:tcPr>
          <w:p>
            <w:pPr>
              <w:spacing w:line="360" w:lineRule="auto"/>
              <w:jc w:val="center"/>
              <w:rPr>
                <w:rFonts w:ascii="宋体" w:hAnsi="宋体"/>
                <w:b/>
                <w:bCs/>
                <w:sz w:val="24"/>
              </w:rPr>
            </w:pPr>
            <w:r>
              <w:rPr>
                <w:rFonts w:hint="eastAsia" w:ascii="宋体" w:hAnsi="宋体"/>
                <w:b/>
                <w:bCs/>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硬件要求</w:t>
            </w:r>
          </w:p>
        </w:tc>
        <w:tc>
          <w:tcPr>
            <w:tcW w:w="5859" w:type="dxa"/>
            <w:noWrap w:val="0"/>
            <w:vAlign w:val="center"/>
          </w:tcPr>
          <w:p>
            <w:pPr>
              <w:rPr>
                <w:rFonts w:ascii="宋体" w:hAnsi="宋体"/>
                <w:sz w:val="18"/>
                <w:szCs w:val="18"/>
              </w:rPr>
            </w:pPr>
            <w:r>
              <w:rPr>
                <w:rFonts w:hint="eastAsia" w:ascii="宋体" w:hAnsi="宋体"/>
                <w:sz w:val="18"/>
                <w:szCs w:val="18"/>
              </w:rPr>
              <w:t>2U机架式一体化设备，内置应用发布中心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ascii="宋体" w:hAnsi="宋体"/>
                <w:sz w:val="18"/>
                <w:szCs w:val="18"/>
              </w:rPr>
            </w:pPr>
          </w:p>
        </w:tc>
        <w:tc>
          <w:tcPr>
            <w:tcW w:w="1816" w:type="dxa"/>
            <w:vMerge w:val="continue"/>
            <w:noWrap w:val="0"/>
            <w:vAlign w:val="center"/>
          </w:tcPr>
          <w:p>
            <w:pPr>
              <w:spacing w:line="360" w:lineRule="auto"/>
              <w:jc w:val="center"/>
              <w:rPr>
                <w:rFonts w:ascii="宋体" w:hAnsi="宋体"/>
                <w:sz w:val="18"/>
                <w:szCs w:val="18"/>
              </w:rPr>
            </w:pPr>
          </w:p>
        </w:tc>
        <w:tc>
          <w:tcPr>
            <w:tcW w:w="5859" w:type="dxa"/>
            <w:noWrap w:val="0"/>
            <w:vAlign w:val="center"/>
          </w:tcPr>
          <w:p>
            <w:pPr>
              <w:rPr>
                <w:rFonts w:ascii="宋体" w:hAnsi="宋体"/>
                <w:sz w:val="18"/>
                <w:szCs w:val="18"/>
              </w:rPr>
            </w:pPr>
            <w:r>
              <w:rPr>
                <w:rFonts w:hint="eastAsia" w:ascii="宋体" w:hAnsi="宋体"/>
                <w:sz w:val="18"/>
                <w:szCs w:val="18"/>
              </w:rPr>
              <w:t>硬盘：≥2T ；内存：≥8G；网络接口：≥</w:t>
            </w:r>
            <w:r>
              <w:rPr>
                <w:rFonts w:ascii="宋体" w:hAnsi="宋体"/>
                <w:sz w:val="18"/>
                <w:szCs w:val="18"/>
              </w:rPr>
              <w:t>4</w:t>
            </w:r>
            <w:r>
              <w:rPr>
                <w:rFonts w:hint="eastAsia" w:ascii="宋体" w:hAnsi="宋体"/>
                <w:sz w:val="18"/>
                <w:szCs w:val="18"/>
              </w:rPr>
              <w:t>个自适应电口</w:t>
            </w:r>
            <w:r>
              <w:rPr>
                <w:rFonts w:hint="eastAsia" w:ascii="宋体" w:hAnsi="宋体" w:cs="宋体"/>
                <w:kern w:val="0"/>
                <w:sz w:val="18"/>
                <w:szCs w:val="18"/>
              </w:rPr>
              <w:t>；</w:t>
            </w:r>
            <w:r>
              <w:rPr>
                <w:rFonts w:hint="eastAsia" w:ascii="宋体" w:hAnsi="宋体"/>
                <w:sz w:val="18"/>
                <w:szCs w:val="18"/>
              </w:rPr>
              <w:t>单电源，可扩展；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noWrap w:val="0"/>
            <w:vAlign w:val="center"/>
          </w:tcPr>
          <w:p>
            <w:pPr>
              <w:spacing w:line="360" w:lineRule="auto"/>
              <w:jc w:val="center"/>
              <w:rPr>
                <w:rFonts w:hint="eastAsia" w:ascii="宋体" w:hAnsi="宋体"/>
                <w:sz w:val="18"/>
                <w:szCs w:val="18"/>
              </w:rPr>
            </w:pPr>
            <w:r>
              <w:rPr>
                <w:rFonts w:hint="eastAsia" w:ascii="宋体" w:hAnsi="宋体"/>
                <w:sz w:val="18"/>
                <w:szCs w:val="18"/>
              </w:rPr>
              <w:t>2</w:t>
            </w:r>
          </w:p>
        </w:tc>
        <w:tc>
          <w:tcPr>
            <w:tcW w:w="1816" w:type="dxa"/>
            <w:noWrap w:val="0"/>
            <w:vAlign w:val="center"/>
          </w:tcPr>
          <w:p>
            <w:pPr>
              <w:spacing w:line="360" w:lineRule="auto"/>
              <w:jc w:val="center"/>
              <w:rPr>
                <w:rFonts w:ascii="宋体" w:hAnsi="宋体"/>
                <w:sz w:val="18"/>
                <w:szCs w:val="18"/>
              </w:rPr>
            </w:pPr>
            <w:r>
              <w:rPr>
                <w:rFonts w:hint="eastAsia" w:ascii="宋体" w:hAnsi="宋体"/>
                <w:sz w:val="18"/>
                <w:szCs w:val="18"/>
              </w:rPr>
              <w:t>可管理设备数</w:t>
            </w:r>
          </w:p>
        </w:tc>
        <w:tc>
          <w:tcPr>
            <w:tcW w:w="5859" w:type="dxa"/>
            <w:noWrap w:val="0"/>
            <w:vAlign w:val="center"/>
          </w:tcPr>
          <w:p>
            <w:pPr>
              <w:rPr>
                <w:rFonts w:ascii="宋体" w:hAnsi="宋体"/>
                <w:sz w:val="18"/>
                <w:szCs w:val="18"/>
              </w:rPr>
            </w:pPr>
            <w:r>
              <w:rPr>
                <w:rFonts w:hint="eastAsia" w:ascii="宋体"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3</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高可靠性要求</w:t>
            </w:r>
          </w:p>
        </w:tc>
        <w:tc>
          <w:tcPr>
            <w:tcW w:w="5859" w:type="dxa"/>
            <w:noWrap w:val="0"/>
            <w:vAlign w:val="center"/>
          </w:tcPr>
          <w:p>
            <w:pPr>
              <w:rPr>
                <w:rFonts w:ascii="宋体" w:hAnsi="宋体"/>
                <w:sz w:val="18"/>
                <w:szCs w:val="18"/>
              </w:rPr>
            </w:pPr>
            <w:r>
              <w:rPr>
                <w:rFonts w:hint="eastAsia" w:ascii="宋体" w:hAnsi="宋体"/>
                <w:sz w:val="18"/>
                <w:szCs w:val="18"/>
              </w:rPr>
              <w:t>★支持双机热备，支持系统配置以及审计日志实时同步（提供截图证明有效）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continue"/>
            <w:noWrap w:val="0"/>
            <w:vAlign w:val="top"/>
          </w:tcPr>
          <w:p>
            <w:pPr>
              <w:spacing w:line="360" w:lineRule="auto"/>
              <w:jc w:val="center"/>
              <w:rPr>
                <w:rFonts w:hint="eastAsia" w:ascii="宋体" w:hAnsi="宋体"/>
                <w:sz w:val="18"/>
                <w:szCs w:val="18"/>
              </w:rPr>
            </w:pPr>
          </w:p>
        </w:tc>
        <w:tc>
          <w:tcPr>
            <w:tcW w:w="1816" w:type="dxa"/>
            <w:vMerge w:val="continue"/>
            <w:noWrap w:val="0"/>
            <w:vAlign w:val="center"/>
          </w:tcPr>
          <w:p>
            <w:pPr>
              <w:spacing w:line="360" w:lineRule="auto"/>
              <w:jc w:val="center"/>
              <w:rPr>
                <w:rFonts w:hint="eastAsia" w:ascii="宋体" w:hAnsi="宋体"/>
                <w:sz w:val="18"/>
                <w:szCs w:val="18"/>
              </w:rPr>
            </w:pPr>
          </w:p>
        </w:tc>
        <w:tc>
          <w:tcPr>
            <w:tcW w:w="5859" w:type="dxa"/>
            <w:noWrap w:val="0"/>
            <w:vAlign w:val="center"/>
          </w:tcPr>
          <w:p>
            <w:pPr>
              <w:rPr>
                <w:rFonts w:hint="eastAsia" w:ascii="宋体" w:hAnsi="宋体"/>
                <w:sz w:val="18"/>
                <w:szCs w:val="18"/>
              </w:rPr>
            </w:pPr>
            <w:r>
              <w:rPr>
                <w:rFonts w:hint="eastAsia" w:ascii="宋体" w:hAnsi="宋体"/>
                <w:sz w:val="18"/>
                <w:szCs w:val="18"/>
              </w:rPr>
              <w:t>支持集群部署，系统策略支持统一下发，后期升级扩容方式支持单节点扩容，无需进行软硬件的二次升级即可完成。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0" w:type="dxa"/>
            <w:vMerge w:val="continue"/>
            <w:noWrap w:val="0"/>
            <w:vAlign w:val="top"/>
          </w:tcPr>
          <w:p>
            <w:pPr>
              <w:spacing w:line="360" w:lineRule="auto"/>
              <w:jc w:val="center"/>
              <w:rPr>
                <w:rFonts w:ascii="宋体" w:hAnsi="宋体"/>
                <w:sz w:val="18"/>
                <w:szCs w:val="18"/>
              </w:rPr>
            </w:pPr>
          </w:p>
        </w:tc>
        <w:tc>
          <w:tcPr>
            <w:tcW w:w="1816" w:type="dxa"/>
            <w:vMerge w:val="continue"/>
            <w:noWrap w:val="0"/>
            <w:vAlign w:val="center"/>
          </w:tcPr>
          <w:p>
            <w:pPr>
              <w:spacing w:line="360" w:lineRule="auto"/>
              <w:jc w:val="center"/>
              <w:rPr>
                <w:rFonts w:ascii="宋体" w:hAnsi="宋体"/>
                <w:sz w:val="18"/>
                <w:szCs w:val="18"/>
              </w:rPr>
            </w:pPr>
          </w:p>
        </w:tc>
        <w:tc>
          <w:tcPr>
            <w:tcW w:w="5859" w:type="dxa"/>
            <w:noWrap w:val="0"/>
            <w:vAlign w:val="center"/>
          </w:tcPr>
          <w:p>
            <w:pPr>
              <w:rPr>
                <w:rFonts w:ascii="宋体" w:hAnsi="宋体"/>
                <w:sz w:val="18"/>
                <w:szCs w:val="18"/>
              </w:rPr>
            </w:pPr>
            <w:r>
              <w:rPr>
                <w:rFonts w:hint="eastAsia" w:ascii="宋体" w:hAnsi="宋体"/>
                <w:sz w:val="18"/>
                <w:szCs w:val="18"/>
              </w:rPr>
              <w:t>★支持第三方负载均衡，并支持集群自带的负载均衡模块。（提供截图证明有效）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sz w:val="18"/>
                <w:szCs w:val="18"/>
              </w:rPr>
            </w:pPr>
            <w:r>
              <w:rPr>
                <w:rFonts w:hint="eastAsia" w:ascii="宋体" w:hAnsi="宋体"/>
                <w:sz w:val="18"/>
                <w:szCs w:val="18"/>
              </w:rPr>
              <w:t>4</w:t>
            </w:r>
          </w:p>
        </w:tc>
        <w:tc>
          <w:tcPr>
            <w:tcW w:w="1816" w:type="dxa"/>
            <w:noWrap w:val="0"/>
            <w:vAlign w:val="center"/>
          </w:tcPr>
          <w:p>
            <w:pPr>
              <w:spacing w:line="360" w:lineRule="auto"/>
              <w:jc w:val="center"/>
              <w:rPr>
                <w:rFonts w:ascii="宋体" w:hAnsi="宋体"/>
                <w:sz w:val="18"/>
                <w:szCs w:val="18"/>
              </w:rPr>
            </w:pPr>
            <w:r>
              <w:rPr>
                <w:rFonts w:ascii="宋体" w:hAnsi="宋体"/>
                <w:sz w:val="18"/>
                <w:szCs w:val="18"/>
              </w:rPr>
              <w:t>支持协议类型</w:t>
            </w:r>
          </w:p>
        </w:tc>
        <w:tc>
          <w:tcPr>
            <w:tcW w:w="5859" w:type="dxa"/>
            <w:noWrap w:val="0"/>
            <w:vAlign w:val="bottom"/>
          </w:tcPr>
          <w:p>
            <w:pPr>
              <w:jc w:val="left"/>
              <w:rPr>
                <w:rFonts w:ascii="宋体" w:hAnsi="宋体"/>
                <w:kern w:val="0"/>
                <w:sz w:val="18"/>
                <w:szCs w:val="18"/>
              </w:rPr>
            </w:pPr>
            <w:r>
              <w:rPr>
                <w:rFonts w:hint="eastAsia" w:ascii="宋体" w:hAnsi="宋体"/>
                <w:kern w:val="0"/>
                <w:sz w:val="18"/>
                <w:szCs w:val="18"/>
              </w:rPr>
              <w:t>图形终端协议：RDP、VNC、X11</w:t>
            </w:r>
          </w:p>
          <w:p>
            <w:pPr>
              <w:jc w:val="left"/>
              <w:rPr>
                <w:rFonts w:ascii="宋体" w:hAnsi="宋体"/>
                <w:kern w:val="0"/>
                <w:sz w:val="18"/>
                <w:szCs w:val="18"/>
              </w:rPr>
            </w:pPr>
            <w:r>
              <w:rPr>
                <w:rFonts w:hint="eastAsia" w:ascii="宋体" w:hAnsi="宋体"/>
                <w:kern w:val="0"/>
                <w:sz w:val="18"/>
                <w:szCs w:val="18"/>
              </w:rPr>
              <w:t>字符终端协议：Telnet、SSH</w:t>
            </w:r>
          </w:p>
          <w:p>
            <w:pPr>
              <w:jc w:val="left"/>
              <w:rPr>
                <w:rFonts w:ascii="宋体" w:hAnsi="宋体"/>
                <w:kern w:val="0"/>
                <w:sz w:val="18"/>
                <w:szCs w:val="18"/>
              </w:rPr>
            </w:pPr>
            <w:r>
              <w:rPr>
                <w:rFonts w:hint="eastAsia" w:ascii="宋体" w:hAnsi="宋体"/>
                <w:kern w:val="0"/>
                <w:sz w:val="18"/>
                <w:szCs w:val="18"/>
              </w:rPr>
              <w:t>文件传输协议：FTP、SFTP</w:t>
            </w:r>
          </w:p>
          <w:p>
            <w:pPr>
              <w:jc w:val="left"/>
              <w:rPr>
                <w:rFonts w:ascii="宋体" w:hAnsi="宋体"/>
                <w:kern w:val="0"/>
                <w:sz w:val="18"/>
                <w:szCs w:val="18"/>
              </w:rPr>
            </w:pPr>
            <w:r>
              <w:rPr>
                <w:rFonts w:hint="eastAsia" w:ascii="宋体" w:hAnsi="宋体"/>
                <w:kern w:val="0"/>
                <w:sz w:val="18"/>
                <w:szCs w:val="18"/>
              </w:rPr>
              <w:t>数据库类型：Oracle：PLSQL、TOAD、SQLPLUS、SQLDEVELOPER；Informix：DBACCESS；Mysql：MYSQLFRONT、</w:t>
            </w:r>
            <w:r>
              <w:rPr>
                <w:rFonts w:ascii="宋体" w:hAnsi="宋体"/>
                <w:kern w:val="0"/>
                <w:sz w:val="18"/>
                <w:szCs w:val="18"/>
              </w:rPr>
              <w:t>HeidiSQL</w:t>
            </w:r>
            <w:r>
              <w:rPr>
                <w:rFonts w:hint="eastAsia" w:ascii="宋体" w:hAnsi="宋体"/>
                <w:kern w:val="0"/>
                <w:sz w:val="18"/>
                <w:szCs w:val="18"/>
              </w:rPr>
              <w:t>；SQL Server：SQLserver（2000-2012）；Sybase：SCVIEW4；DB2：DB2CMD、DB2QUEST</w:t>
            </w:r>
          </w:p>
          <w:p>
            <w:pPr>
              <w:jc w:val="left"/>
              <w:rPr>
                <w:rFonts w:ascii="宋体" w:hAnsi="宋体"/>
                <w:kern w:val="0"/>
                <w:sz w:val="18"/>
                <w:szCs w:val="18"/>
              </w:rPr>
            </w:pPr>
            <w:r>
              <w:rPr>
                <w:rFonts w:hint="eastAsia" w:ascii="宋体" w:hAnsi="宋体"/>
                <w:b/>
                <w:kern w:val="0"/>
                <w:sz w:val="18"/>
                <w:szCs w:val="18"/>
              </w:rPr>
              <w:t>W</w:t>
            </w:r>
            <w:r>
              <w:rPr>
                <w:rFonts w:hint="eastAsia" w:ascii="宋体" w:hAnsi="宋体"/>
                <w:kern w:val="0"/>
                <w:sz w:val="18"/>
                <w:szCs w:val="18"/>
              </w:rPr>
              <w:t>EB应用：HTTP、HTTPS</w:t>
            </w:r>
          </w:p>
          <w:p>
            <w:pPr>
              <w:rPr>
                <w:rFonts w:ascii="宋体" w:hAnsi="宋体"/>
                <w:kern w:val="0"/>
                <w:sz w:val="18"/>
                <w:szCs w:val="18"/>
              </w:rPr>
            </w:pPr>
            <w:r>
              <w:rPr>
                <w:rFonts w:hint="eastAsia" w:ascii="宋体" w:hAnsi="宋体"/>
                <w:kern w:val="0"/>
                <w:sz w:val="18"/>
                <w:szCs w:val="18"/>
              </w:rPr>
              <w:t>KVM类:DSR、DSVIEW、RARITAN、RARITAN_CC等</w:t>
            </w:r>
          </w:p>
          <w:p>
            <w:pPr>
              <w:rPr>
                <w:rFonts w:ascii="宋体" w:hAnsi="宋体"/>
                <w:sz w:val="18"/>
                <w:szCs w:val="18"/>
              </w:rPr>
            </w:pPr>
            <w:r>
              <w:rPr>
                <w:rFonts w:hint="eastAsia" w:ascii="宋体" w:hAnsi="宋体"/>
                <w:kern w:val="0"/>
                <w:sz w:val="18"/>
                <w:szCs w:val="18"/>
              </w:rPr>
              <w:t>其它应用：AS400、REALVNC、PGADMIN、PCANYWHERE、RADMIN、DameWare、CiscoASDM、VMware vSphere 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5</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单点登录</w:t>
            </w:r>
          </w:p>
        </w:tc>
        <w:tc>
          <w:tcPr>
            <w:tcW w:w="5859" w:type="dxa"/>
            <w:noWrap w:val="0"/>
            <w:vAlign w:val="top"/>
          </w:tcPr>
          <w:p>
            <w:pPr>
              <w:rPr>
                <w:rFonts w:ascii="宋体" w:hAnsi="宋体"/>
                <w:sz w:val="18"/>
                <w:szCs w:val="18"/>
              </w:rPr>
            </w:pPr>
            <w:r>
              <w:rPr>
                <w:rFonts w:hint="eastAsia" w:ascii="宋体" w:hAnsi="宋体"/>
                <w:kern w:val="0"/>
                <w:sz w:val="18"/>
                <w:szCs w:val="18"/>
              </w:rPr>
              <w:t>上述所有协议类型均可实现单点登录，图形化应用无需安装任何客户端和控件即可实现单点登录，即通过堡垒机实现图形化应用发布功能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 Google Chrome浏览器代填登录页面；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sz w:val="18"/>
                <w:szCs w:val="18"/>
              </w:rPr>
              <w:t>★</w:t>
            </w:r>
            <w:r>
              <w:rPr>
                <w:rFonts w:hint="eastAsia" w:ascii="宋体" w:hAnsi="宋体"/>
                <w:kern w:val="0"/>
                <w:sz w:val="18"/>
                <w:szCs w:val="18"/>
              </w:rPr>
              <w:t>支持IE代填类型包括 JS、flash、HTML5等特殊登录页面。(提供截图证明有效）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6</w:t>
            </w:r>
          </w:p>
        </w:tc>
        <w:tc>
          <w:tcPr>
            <w:tcW w:w="1816" w:type="dxa"/>
            <w:noWrap w:val="0"/>
            <w:vAlign w:val="center"/>
          </w:tcPr>
          <w:p>
            <w:pPr>
              <w:spacing w:line="360" w:lineRule="auto"/>
              <w:jc w:val="center"/>
              <w:rPr>
                <w:rFonts w:ascii="宋体" w:hAnsi="宋体"/>
                <w:kern w:val="0"/>
                <w:sz w:val="18"/>
                <w:szCs w:val="18"/>
              </w:rPr>
            </w:pPr>
            <w:r>
              <w:rPr>
                <w:rFonts w:hint="eastAsia" w:ascii="宋体" w:hAnsi="宋体"/>
                <w:kern w:val="0"/>
                <w:sz w:val="18"/>
                <w:szCs w:val="18"/>
              </w:rPr>
              <w:t>无缝应用发布功能</w:t>
            </w:r>
          </w:p>
        </w:tc>
        <w:tc>
          <w:tcPr>
            <w:tcW w:w="5859" w:type="dxa"/>
            <w:noWrap w:val="0"/>
            <w:vAlign w:val="bottom"/>
          </w:tcPr>
          <w:p>
            <w:pPr>
              <w:rPr>
                <w:rFonts w:ascii="宋体" w:hAnsi="宋体"/>
                <w:kern w:val="0"/>
                <w:sz w:val="18"/>
                <w:szCs w:val="18"/>
              </w:rPr>
            </w:pPr>
            <w:r>
              <w:rPr>
                <w:rFonts w:hint="eastAsia" w:ascii="宋体" w:hAnsi="宋体"/>
                <w:sz w:val="18"/>
                <w:szCs w:val="18"/>
              </w:rPr>
              <w:t>★</w:t>
            </w:r>
            <w:r>
              <w:rPr>
                <w:rFonts w:hint="eastAsia" w:ascii="宋体" w:hAnsi="宋体"/>
                <w:kern w:val="0"/>
                <w:sz w:val="18"/>
                <w:szCs w:val="18"/>
              </w:rPr>
              <w:t>要求以上所有图形化应用在实际操作环境中均可以正常使用且可自由调整应用的窗口大小，做到无缝发布，拖拽窗口应自然流畅，无卡顿现象，像是在本地运行应用程序一样(提供截图证明有效）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7</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系统自身安全性</w:t>
            </w:r>
          </w:p>
        </w:tc>
        <w:tc>
          <w:tcPr>
            <w:tcW w:w="5859" w:type="dxa"/>
            <w:noWrap w:val="0"/>
            <w:vAlign w:val="bottom"/>
          </w:tcPr>
          <w:p>
            <w:pPr>
              <w:rPr>
                <w:rFonts w:ascii="宋体" w:hAnsi="宋体"/>
                <w:kern w:val="0"/>
                <w:sz w:val="18"/>
                <w:szCs w:val="18"/>
              </w:rPr>
            </w:pPr>
            <w:r>
              <w:rPr>
                <w:rFonts w:hint="eastAsia" w:ascii="宋体" w:hAnsi="宋体"/>
                <w:kern w:val="0"/>
                <w:sz w:val="18"/>
                <w:szCs w:val="18"/>
              </w:rPr>
              <w:t>支持IP自动禁止功能，对连续登陆账号密码错误的来源IP自动屏蔽，可通过管理员解除屏蔽。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支持账号自动锁定功能，用户1分钟内连续输入账号密码错误，自动锁定该账号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支持对应用中心状态、审计状态和端口状态是否正常工作进行一键检查。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保证在特殊情况下通过console口连接。保证紧急情况能够用过console管理员密码或网络IP地址。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8</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运维管理</w:t>
            </w:r>
          </w:p>
        </w:tc>
        <w:tc>
          <w:tcPr>
            <w:tcW w:w="5859" w:type="dxa"/>
            <w:noWrap w:val="0"/>
            <w:vAlign w:val="bottom"/>
          </w:tcPr>
          <w:p>
            <w:pPr>
              <w:rPr>
                <w:rFonts w:ascii="宋体" w:hAnsi="宋体"/>
                <w:kern w:val="0"/>
                <w:sz w:val="18"/>
                <w:szCs w:val="18"/>
              </w:rPr>
            </w:pPr>
            <w:r>
              <w:rPr>
                <w:rFonts w:hint="eastAsia" w:ascii="宋体" w:hAnsi="宋体"/>
                <w:kern w:val="0"/>
                <w:sz w:val="18"/>
                <w:szCs w:val="18"/>
              </w:rPr>
              <w:t>支持C/S与B/S运维方式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支持字符类putty、SecureCRT等工具的各类属性：终端属性、字符编码、窗口大小随意调整等等；图形类mstsc工具的原有属性：自定义开启/关闭磁盘映射、剪切板等，支持窗口大小随意调整、声音传输等等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可以指定系统用户查看该用户可管理的资产信息；可以指定资源名/资产IP/账号名查看资产属于哪些系统用户管理。授权关系导出（可以导出用户和设备授权关系进行查看，导出展现形式excel）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运维人员可以在系统Web界面填写授权审批流程单，填写内容至少应包括：设备资源、系统账号、协议类型、时间窗口；审批通过后，运维人员可立即取得相应访问权限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ascii="宋体" w:hAnsi="宋体"/>
                <w:kern w:val="0"/>
                <w:sz w:val="18"/>
                <w:szCs w:val="18"/>
              </w:rPr>
            </w:pPr>
            <w:r>
              <w:rPr>
                <w:rFonts w:hint="eastAsia" w:ascii="宋体" w:hAnsi="宋体"/>
                <w:kern w:val="0"/>
                <w:sz w:val="18"/>
                <w:szCs w:val="18"/>
              </w:rPr>
              <w:t>支持普通用户资产批量运维功能</w:t>
            </w:r>
            <w:r>
              <w:rPr>
                <w:rFonts w:ascii="宋体" w:hAnsi="宋体"/>
                <w:kern w:val="0"/>
                <w:sz w:val="18"/>
                <w:szCs w:val="18"/>
              </w:rPr>
              <w:t>，支持字符终端、图形终端、图形应用，支持批量资产FTP</w:t>
            </w:r>
            <w:r>
              <w:rPr>
                <w:rFonts w:hint="eastAsia" w:ascii="宋体" w:hAnsi="宋体"/>
                <w:kern w:val="0"/>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★提供绿色运维小助手，无需本地安装，运维操作不再依赖任何单一类型浏览器，完美实现兼容</w:t>
            </w:r>
            <w:r>
              <w:rPr>
                <w:rFonts w:ascii="宋体" w:hAnsi="宋体"/>
                <w:kern w:val="0"/>
                <w:sz w:val="18"/>
                <w:szCs w:val="18"/>
              </w:rPr>
              <w:t>IE</w:t>
            </w:r>
            <w:r>
              <w:rPr>
                <w:rFonts w:hint="eastAsia" w:ascii="宋体" w:hAnsi="宋体"/>
                <w:kern w:val="0"/>
                <w:sz w:val="18"/>
                <w:szCs w:val="18"/>
              </w:rPr>
              <w:t>、火狐</w:t>
            </w:r>
            <w:r>
              <w:rPr>
                <w:rFonts w:ascii="宋体" w:hAnsi="宋体"/>
                <w:kern w:val="0"/>
                <w:sz w:val="18"/>
                <w:szCs w:val="18"/>
              </w:rPr>
              <w:t>Firefox</w:t>
            </w:r>
            <w:r>
              <w:rPr>
                <w:rFonts w:hint="eastAsia" w:ascii="宋体" w:hAnsi="宋体"/>
                <w:kern w:val="0"/>
                <w:sz w:val="18"/>
                <w:szCs w:val="18"/>
              </w:rPr>
              <w:t>、谷歌</w:t>
            </w:r>
            <w:r>
              <w:rPr>
                <w:rFonts w:ascii="宋体" w:hAnsi="宋体"/>
                <w:kern w:val="0"/>
                <w:sz w:val="18"/>
                <w:szCs w:val="18"/>
              </w:rPr>
              <w:t>Chrome</w:t>
            </w:r>
            <w:r>
              <w:rPr>
                <w:rFonts w:hint="eastAsia" w:ascii="宋体" w:hAnsi="宋体"/>
                <w:kern w:val="0"/>
                <w:sz w:val="18"/>
                <w:szCs w:val="18"/>
              </w:rPr>
              <w:t>等其他任何类型浏览器（提供截图证明有效）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★为管理员和运维人员提供操作向导模式，方便用户进行设备管理和使用（提供截图证明有效）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可以制定计划任务，至字符类资产执行事先编辑好的脚本。</w:t>
            </w:r>
          </w:p>
          <w:p>
            <w:pPr>
              <w:rPr>
                <w:rFonts w:ascii="宋体" w:hAnsi="宋体"/>
                <w:kern w:val="0"/>
                <w:sz w:val="18"/>
                <w:szCs w:val="18"/>
              </w:rPr>
            </w:pPr>
            <w:r>
              <w:rPr>
                <w:rFonts w:hint="eastAsia" w:ascii="宋体" w:hAnsi="宋体"/>
                <w:kern w:val="0"/>
                <w:sz w:val="18"/>
                <w:szCs w:val="18"/>
              </w:rPr>
              <w:t>脚本超时执行时间为每个计划在单台机器上的超时时间。执行超过超时间后会断开连接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9</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用户账号管理</w:t>
            </w:r>
          </w:p>
        </w:tc>
        <w:tc>
          <w:tcPr>
            <w:tcW w:w="5859" w:type="dxa"/>
            <w:noWrap w:val="0"/>
            <w:vAlign w:val="top"/>
          </w:tcPr>
          <w:p>
            <w:pPr>
              <w:rPr>
                <w:rFonts w:ascii="宋体" w:hAnsi="宋体"/>
                <w:kern w:val="0"/>
                <w:sz w:val="18"/>
                <w:szCs w:val="18"/>
              </w:rPr>
            </w:pPr>
            <w:r>
              <w:rPr>
                <w:rFonts w:hint="eastAsia" w:ascii="宋体" w:hAnsi="宋体"/>
                <w:kern w:val="0"/>
                <w:sz w:val="18"/>
                <w:szCs w:val="18"/>
              </w:rPr>
              <w:t>系统角色需按法案要求进行划分，至少有系统管理员、密码管理员、配置管理员、审计管理员、普通用户等多种角色。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系统提供身份认证，自然人（员工帐户）登录系统时支持静态口令、</w:t>
            </w:r>
            <w:r>
              <w:rPr>
                <w:rFonts w:ascii="宋体" w:hAnsi="宋体"/>
                <w:kern w:val="0"/>
                <w:sz w:val="18"/>
                <w:szCs w:val="18"/>
              </w:rPr>
              <w:t>Radius</w:t>
            </w:r>
            <w:r>
              <w:rPr>
                <w:rFonts w:hint="eastAsia" w:ascii="宋体" w:hAnsi="宋体"/>
                <w:kern w:val="0"/>
                <w:sz w:val="18"/>
                <w:szCs w:val="18"/>
              </w:rPr>
              <w:t>认证、</w:t>
            </w:r>
            <w:r>
              <w:rPr>
                <w:rFonts w:ascii="宋体" w:hAnsi="宋体"/>
                <w:kern w:val="0"/>
                <w:sz w:val="18"/>
                <w:szCs w:val="18"/>
              </w:rPr>
              <w:t>LDAP</w:t>
            </w:r>
            <w:r>
              <w:rPr>
                <w:rFonts w:hint="eastAsia" w:ascii="宋体" w:hAnsi="宋体"/>
                <w:kern w:val="0"/>
                <w:sz w:val="18"/>
                <w:szCs w:val="18"/>
              </w:rPr>
              <w:t>、</w:t>
            </w:r>
            <w:r>
              <w:rPr>
                <w:rFonts w:ascii="宋体" w:hAnsi="宋体"/>
                <w:kern w:val="0"/>
                <w:sz w:val="18"/>
                <w:szCs w:val="18"/>
              </w:rPr>
              <w:t>AD</w:t>
            </w:r>
            <w:r>
              <w:rPr>
                <w:rFonts w:hint="eastAsia" w:ascii="宋体" w:hAnsi="宋体"/>
                <w:kern w:val="0"/>
                <w:sz w:val="18"/>
                <w:szCs w:val="18"/>
              </w:rPr>
              <w:t>域、数字证书认证、动态令牌认证、USBKEY认证、指纹认证和Google手机动态令牌认证。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支持指纹认证：</w:t>
            </w:r>
          </w:p>
          <w:p>
            <w:pPr>
              <w:rPr>
                <w:rFonts w:ascii="宋体" w:hAnsi="宋体"/>
                <w:kern w:val="0"/>
                <w:sz w:val="18"/>
                <w:szCs w:val="18"/>
              </w:rPr>
            </w:pPr>
            <w:r>
              <w:rPr>
                <w:rFonts w:hint="eastAsia" w:ascii="宋体" w:hAnsi="宋体"/>
                <w:kern w:val="0"/>
                <w:sz w:val="18"/>
                <w:szCs w:val="18"/>
              </w:rPr>
              <w:t>至少支持三个厂商的指纹认证。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系统内置PKI证书认证功能，用户只需配置USB-KEY即可实现证书登陆认证，实现双因素认证（USB-KEY+PIN码）。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★系统内置动态令牌认证，用户不需要额外部署认证服务器，通过配置动态令牌实现双因素认证；同时可支持Google手机动态令牌认证（提供截图证明有效）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支持多因子认证自定义组合，可为不同用户组分配不同的认证策略，支持单因素，双因素和多因素的认证策略。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widowControl/>
              <w:rPr>
                <w:rFonts w:ascii="宋体" w:hAnsi="宋体"/>
                <w:kern w:val="0"/>
                <w:sz w:val="18"/>
                <w:szCs w:val="18"/>
              </w:rPr>
            </w:pPr>
            <w:r>
              <w:rPr>
                <w:rFonts w:hint="eastAsia" w:ascii="宋体" w:hAnsi="宋体"/>
                <w:kern w:val="0"/>
                <w:sz w:val="18"/>
                <w:szCs w:val="18"/>
              </w:rPr>
              <w:t>支持以excel格式批量导入和导出用户帐号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用户帐号自动改密，可制定改密计划对用户帐号进行定期改密，并发送邮件通知用户。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★在线批量编辑，提供堡垒机用户的批量编辑功能，以方便用户管理员批量修改帐号属性及关联信息，包括用户状态、有效时间。(提供加盖原厂公章证明）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widowControl/>
              <w:rPr>
                <w:rFonts w:ascii="宋体" w:hAnsi="宋体"/>
                <w:kern w:val="0"/>
                <w:sz w:val="18"/>
                <w:szCs w:val="18"/>
              </w:rPr>
            </w:pPr>
            <w:r>
              <w:rPr>
                <w:rFonts w:hint="eastAsia" w:ascii="宋体" w:hAnsi="宋体"/>
                <w:kern w:val="0"/>
                <w:sz w:val="18"/>
                <w:szCs w:val="18"/>
              </w:rPr>
              <w:t>支持从AD服务器批量导入用户帐号；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10</w:t>
            </w:r>
          </w:p>
        </w:tc>
        <w:tc>
          <w:tcPr>
            <w:tcW w:w="1816" w:type="dxa"/>
            <w:vMerge w:val="restart"/>
            <w:noWrap w:val="0"/>
            <w:vAlign w:val="center"/>
          </w:tcPr>
          <w:p>
            <w:pPr>
              <w:spacing w:line="360" w:lineRule="auto"/>
              <w:rPr>
                <w:rFonts w:ascii="宋体" w:hAnsi="宋体"/>
                <w:kern w:val="0"/>
                <w:sz w:val="18"/>
                <w:szCs w:val="18"/>
              </w:rPr>
            </w:pPr>
            <w:r>
              <w:rPr>
                <w:rFonts w:hint="eastAsia" w:ascii="宋体" w:hAnsi="宋体"/>
                <w:kern w:val="0"/>
                <w:sz w:val="18"/>
                <w:szCs w:val="18"/>
              </w:rPr>
              <w:t>设备及账号密码管理</w:t>
            </w:r>
          </w:p>
        </w:tc>
        <w:tc>
          <w:tcPr>
            <w:tcW w:w="5859" w:type="dxa"/>
            <w:noWrap w:val="0"/>
            <w:vAlign w:val="center"/>
          </w:tcPr>
          <w:p>
            <w:pPr>
              <w:rPr>
                <w:rFonts w:ascii="宋体" w:hAnsi="宋体"/>
                <w:kern w:val="0"/>
                <w:sz w:val="18"/>
                <w:szCs w:val="18"/>
              </w:rPr>
            </w:pPr>
            <w:r>
              <w:rPr>
                <w:rFonts w:hint="eastAsia" w:ascii="宋体" w:hAnsi="宋体"/>
                <w:kern w:val="0"/>
                <w:sz w:val="18"/>
                <w:szCs w:val="18"/>
              </w:rPr>
              <w:t>支持批量导入导出运维用户、目标设备、账号密码等，支持目标设备账号批量新增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★支持在线批量设备帐号修改；支持设备帐号属性添加和修改，包括帐号密码、应用参数、帐号状态、改密脚本、特权帐号、应用端口、应用密码提示、帐号类型、帐号提示符、帐号同步。(提供截图证明有效）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通过</w:t>
            </w:r>
            <w:r>
              <w:rPr>
                <w:rFonts w:ascii="宋体" w:hAnsi="宋体"/>
                <w:kern w:val="0"/>
                <w:sz w:val="18"/>
                <w:szCs w:val="18"/>
              </w:rPr>
              <w:t>ssh-keygen</w:t>
            </w:r>
            <w:r>
              <w:rPr>
                <w:rFonts w:hint="eastAsia" w:ascii="宋体" w:hAnsi="宋体"/>
                <w:kern w:val="0"/>
                <w:sz w:val="18"/>
                <w:szCs w:val="18"/>
              </w:rPr>
              <w:t>产生公钥和私钥密码对，上传堡垒机，可实现免密码登录服务器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支持将目标设备资产的账号密码进行密函打印导出（提供截图证明有效）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支持linux、unix、网络设备、windows2000/2003/2008的自动改密功能；无需通过插件、引擎或特殊端口对目标设备进行自动改密，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hint="eastAsia" w:ascii="宋体" w:hAnsi="宋体"/>
                <w:kern w:val="0"/>
                <w:sz w:val="18"/>
                <w:szCs w:val="18"/>
              </w:rPr>
            </w:pPr>
            <w:r>
              <w:rPr>
                <w:rFonts w:hint="eastAsia" w:ascii="宋体" w:hAnsi="宋体"/>
                <w:kern w:val="0"/>
                <w:sz w:val="18"/>
                <w:szCs w:val="18"/>
              </w:rPr>
              <w:t>在系统完成密码修改之后，自动进行新密码登录测试，以便进一步校验密码修改结果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11</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权限管理</w:t>
            </w:r>
          </w:p>
        </w:tc>
        <w:tc>
          <w:tcPr>
            <w:tcW w:w="5859" w:type="dxa"/>
            <w:noWrap w:val="0"/>
            <w:vAlign w:val="top"/>
          </w:tcPr>
          <w:p>
            <w:pPr>
              <w:rPr>
                <w:rFonts w:ascii="宋体" w:hAnsi="宋体"/>
                <w:kern w:val="0"/>
                <w:sz w:val="18"/>
                <w:szCs w:val="18"/>
              </w:rPr>
            </w:pPr>
            <w:r>
              <w:rPr>
                <w:rFonts w:hint="eastAsia" w:ascii="宋体" w:hAnsi="宋体"/>
                <w:kern w:val="0"/>
                <w:sz w:val="18"/>
                <w:szCs w:val="18"/>
              </w:rPr>
              <w:t>★支持系统管理员按部门进行分权管理，各部门系统管理员只能管理和授权本部门管辖内的设备资源；支持审计管理员分权管理，只能审计被授权的设备。（提供截图证明有效）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提供访问控制功能，支持对系统的用户登录进行可配置的策略设置，根据策略因子：用户或用户组、日期、每月、每周、时间、源地址、目标地址、目标端口、目标账号、动作(接受、拒绝)来定制访问策略对用户或用户组行为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提供禁审功能，可对部分设定的控制策略的会话不审计录像，防止机密信息二次泄露；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系统可以对字符操作的命令进行控制，通过制定命令黑白名单实现对命令的有效管理，可以对命令集合进行告警或者自动阻断，支持正则表达式匹配。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默认规定用户登录后，只能在其目录下进行操作，不能随意跳转至其他目录进行操作，也可通过开关打开限制（提供加盖原厂公章的截图证明）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12</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日志审计</w:t>
            </w:r>
          </w:p>
        </w:tc>
        <w:tc>
          <w:tcPr>
            <w:tcW w:w="5859" w:type="dxa"/>
            <w:noWrap w:val="0"/>
            <w:vAlign w:val="top"/>
          </w:tcPr>
          <w:p>
            <w:pPr>
              <w:rPr>
                <w:rFonts w:ascii="宋体" w:hAnsi="宋体"/>
                <w:kern w:val="0"/>
                <w:sz w:val="18"/>
                <w:szCs w:val="18"/>
              </w:rPr>
            </w:pPr>
            <w:r>
              <w:rPr>
                <w:rFonts w:hint="eastAsia" w:ascii="宋体" w:hAnsi="宋体"/>
                <w:kern w:val="0"/>
                <w:sz w:val="18"/>
                <w:szCs w:val="18"/>
              </w:rPr>
              <w:t>支持命令记录：字符终端命令记录、图形终端键盘操作记录、数据库运维SQL命令、图形标题栏识别（OCR）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字符终端命令记录：用户可以从任意命令开始查看本命令输出结果或播放；命令分析功能将输入命令和输出结果的智能分离，可以只查看字符命令，也可以显示该命令的返回结果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图形终端键盘操作记录：支持图形终端键盘操作记录，完整记录键盘动作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★数据库运维SQL命令：系统应具备审计到详细的SQL语句，而非键盘符指令，并要求记录到SQL语句的执行时间（提供截图证明有效）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★图形标题栏识别（OCR）：系统应具备对图形运维中的标题名进行智能提取，并可以从任意一个标题名开始回放。可支持中英文操作系统的标题栏体系。（提供截图证明有效）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WEB在线回放完整会话；字符终端操作会话支持倍速播放；图形操作会话支持拖拉定位播放；支持暂停、停止、重新播放等播放控制操作。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审计录像采用数据流回放技术，空闲操作（无屏幕变化）日志无增长，节省了日志空间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系统应具备审计到FTP/SFTP传输的原始文件，并可以在审计系统上进行备份并下载查看其具体内容。对</w:t>
            </w:r>
            <w:r>
              <w:rPr>
                <w:rFonts w:ascii="宋体" w:hAnsi="宋体"/>
                <w:kern w:val="0"/>
                <w:sz w:val="18"/>
                <w:szCs w:val="18"/>
              </w:rPr>
              <w:t>大于一定大小的FTP/SFTP运维审计中的文件可进行异地转储</w:t>
            </w:r>
            <w:r>
              <w:rPr>
                <w:rFonts w:hint="eastAsia" w:ascii="宋体" w:hAnsi="宋体"/>
                <w:kern w:val="0"/>
                <w:sz w:val="18"/>
                <w:szCs w:val="18"/>
              </w:rPr>
              <w:t>，并可记录文件md</w:t>
            </w:r>
            <w:r>
              <w:rPr>
                <w:rFonts w:ascii="宋体" w:hAnsi="宋体"/>
                <w:kern w:val="0"/>
                <w:sz w:val="18"/>
                <w:szCs w:val="18"/>
              </w:rPr>
              <w:t>5值，保障文件的完整性和有效性。</w:t>
            </w:r>
            <w:r>
              <w:rPr>
                <w:rFonts w:hint="eastAsia" w:ascii="宋体" w:hAnsi="宋体"/>
                <w:kern w:val="0"/>
                <w:sz w:val="18"/>
                <w:szCs w:val="18"/>
              </w:rPr>
              <w:t>支持人工开关自由选择是否备份原文件。（提供加盖原厂公章证明）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提供搜索功能，可组合目标主机地址、登录地址、堡垒机用户、远程账号、时间、键盘输入的命令、标题栏等条件进行搜索，快速定位会话记录；搜索条件“用户命令”支持“或”和“与”逻辑关系。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字符运维命令返回值搜索和屏幕导出，支持搜索命令的返回值信息，并支持将屏幕信息导出为文本。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13</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告警模块</w:t>
            </w:r>
          </w:p>
        </w:tc>
        <w:tc>
          <w:tcPr>
            <w:tcW w:w="5859" w:type="dxa"/>
            <w:noWrap w:val="0"/>
            <w:vAlign w:val="center"/>
          </w:tcPr>
          <w:p>
            <w:pPr>
              <w:rPr>
                <w:rFonts w:ascii="宋体" w:hAnsi="宋体"/>
                <w:kern w:val="0"/>
                <w:sz w:val="18"/>
                <w:szCs w:val="18"/>
              </w:rPr>
            </w:pPr>
            <w:r>
              <w:rPr>
                <w:rFonts w:hint="eastAsia" w:ascii="宋体" w:hAnsi="宋体"/>
                <w:kern w:val="0"/>
                <w:sz w:val="18"/>
                <w:szCs w:val="18"/>
              </w:rPr>
              <w:t>支持RDP会话针对操作行为告警（针对标题栏进行告警），可进行告警内容设置。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支持数据库应用针对操作命令进行告警，可进行告警内容设置（告警内容支持动作，表名等）。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14</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数据管理</w:t>
            </w:r>
          </w:p>
        </w:tc>
        <w:tc>
          <w:tcPr>
            <w:tcW w:w="5859" w:type="dxa"/>
            <w:noWrap w:val="0"/>
            <w:vAlign w:val="top"/>
          </w:tcPr>
          <w:p>
            <w:pPr>
              <w:rPr>
                <w:rFonts w:ascii="宋体" w:hAnsi="宋体"/>
                <w:kern w:val="0"/>
                <w:sz w:val="18"/>
                <w:szCs w:val="18"/>
              </w:rPr>
            </w:pPr>
            <w:r>
              <w:rPr>
                <w:rFonts w:hint="eastAsia" w:ascii="宋体" w:hAnsi="宋体"/>
                <w:kern w:val="0"/>
                <w:sz w:val="18"/>
                <w:szCs w:val="18"/>
              </w:rPr>
              <w:t>存储告警：日志存储超过设置的阀值进行邮件告警，支持定期删除计划，只保留设置时间段的日志。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支持通过FTP和SFTP进行系统配置备份和还原，支持FTP和SFTP和本地方式进行审计日志的备份，系统配置和审计日志均可可自定义备份计划。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导出日志可以使用离线播放器进行日志查看和日志检索，包括命令、录像、标题栏内容等。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15</w:t>
            </w:r>
          </w:p>
        </w:tc>
        <w:tc>
          <w:tcPr>
            <w:tcW w:w="1816" w:type="dxa"/>
            <w:noWrap w:val="0"/>
            <w:vAlign w:val="center"/>
          </w:tcPr>
          <w:p>
            <w:pPr>
              <w:spacing w:line="360" w:lineRule="auto"/>
              <w:jc w:val="center"/>
              <w:rPr>
                <w:rFonts w:ascii="宋体" w:hAnsi="宋体"/>
                <w:kern w:val="0"/>
                <w:sz w:val="18"/>
                <w:szCs w:val="18"/>
              </w:rPr>
            </w:pPr>
            <w:r>
              <w:rPr>
                <w:rFonts w:hint="eastAsia" w:ascii="宋体" w:hAnsi="宋体"/>
                <w:kern w:val="0"/>
                <w:sz w:val="18"/>
                <w:szCs w:val="18"/>
              </w:rPr>
              <w:t>统计报表</w:t>
            </w:r>
          </w:p>
        </w:tc>
        <w:tc>
          <w:tcPr>
            <w:tcW w:w="5859" w:type="dxa"/>
            <w:noWrap w:val="0"/>
            <w:vAlign w:val="center"/>
          </w:tcPr>
          <w:p>
            <w:pPr>
              <w:rPr>
                <w:rFonts w:ascii="宋体" w:hAnsi="宋体"/>
                <w:kern w:val="0"/>
                <w:sz w:val="18"/>
                <w:szCs w:val="18"/>
              </w:rPr>
            </w:pPr>
            <w:r>
              <w:rPr>
                <w:rFonts w:hint="eastAsia" w:ascii="宋体" w:hAnsi="宋体"/>
                <w:kern w:val="0"/>
                <w:sz w:val="18"/>
                <w:szCs w:val="18"/>
              </w:rPr>
              <w:t>系统应具备在对系统制定报表任务时，可以配置时间周期，支持以图(柱、饼等)，统计、明细数据的方式表现。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16</w:t>
            </w:r>
          </w:p>
        </w:tc>
        <w:tc>
          <w:tcPr>
            <w:tcW w:w="1816" w:type="dxa"/>
            <w:noWrap w:val="0"/>
            <w:vAlign w:val="center"/>
          </w:tcPr>
          <w:p>
            <w:pPr>
              <w:jc w:val="center"/>
              <w:rPr>
                <w:rFonts w:hint="eastAsia" w:ascii="宋体" w:hAnsi="宋体"/>
                <w:kern w:val="0"/>
                <w:sz w:val="18"/>
                <w:szCs w:val="18"/>
              </w:rPr>
            </w:pPr>
            <w:r>
              <w:rPr>
                <w:rFonts w:hint="eastAsia" w:ascii="宋体" w:hAnsi="宋体"/>
                <w:kern w:val="0"/>
                <w:sz w:val="18"/>
                <w:szCs w:val="18"/>
              </w:rPr>
              <w:t>★产品自身安全性</w:t>
            </w:r>
          </w:p>
        </w:tc>
        <w:tc>
          <w:tcPr>
            <w:tcW w:w="5859" w:type="dxa"/>
            <w:noWrap w:val="0"/>
            <w:vAlign w:val="center"/>
          </w:tcPr>
          <w:p>
            <w:pPr>
              <w:rPr>
                <w:rFonts w:hint="eastAsia" w:ascii="宋体" w:hAnsi="宋体"/>
                <w:kern w:val="0"/>
                <w:sz w:val="18"/>
                <w:szCs w:val="18"/>
              </w:rPr>
            </w:pPr>
            <w:r>
              <w:rPr>
                <w:rFonts w:hint="eastAsia" w:ascii="宋体" w:hAnsi="宋体"/>
                <w:kern w:val="0"/>
                <w:sz w:val="18"/>
                <w:szCs w:val="18"/>
              </w:rPr>
              <w:t>产品自身安全性：所投产品近一年内在CNVD上披露的高危漏洞不高于5条，否则不具备投标资格；（提供官网证明截图）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17</w:t>
            </w:r>
          </w:p>
        </w:tc>
        <w:tc>
          <w:tcPr>
            <w:tcW w:w="1816" w:type="dxa"/>
            <w:noWrap w:val="0"/>
            <w:vAlign w:val="center"/>
          </w:tcPr>
          <w:p>
            <w:pPr>
              <w:rPr>
                <w:rFonts w:hint="eastAsia" w:ascii="宋体" w:hAnsi="宋体"/>
                <w:kern w:val="0"/>
                <w:sz w:val="18"/>
                <w:szCs w:val="18"/>
              </w:rPr>
            </w:pPr>
            <w:r>
              <w:rPr>
                <w:rFonts w:hint="eastAsia" w:ascii="宋体" w:hAnsi="宋体"/>
                <w:kern w:val="0"/>
                <w:sz w:val="18"/>
                <w:szCs w:val="18"/>
              </w:rPr>
              <w:t>★</w:t>
            </w:r>
            <w:r>
              <w:rPr>
                <w:rFonts w:hint="eastAsia"/>
                <w:kern w:val="0"/>
                <w:sz w:val="18"/>
                <w:szCs w:val="18"/>
              </w:rPr>
              <w:t>单点</w:t>
            </w:r>
            <w:r>
              <w:rPr>
                <w:kern w:val="0"/>
                <w:sz w:val="18"/>
                <w:szCs w:val="18"/>
              </w:rPr>
              <w:t>登录</w:t>
            </w:r>
            <w:r>
              <w:rPr>
                <w:rFonts w:hint="eastAsia"/>
                <w:kern w:val="0"/>
                <w:sz w:val="18"/>
                <w:szCs w:val="18"/>
              </w:rPr>
              <w:t>访问</w:t>
            </w:r>
          </w:p>
        </w:tc>
        <w:tc>
          <w:tcPr>
            <w:tcW w:w="5859" w:type="dxa"/>
            <w:noWrap w:val="0"/>
            <w:vAlign w:val="center"/>
          </w:tcPr>
          <w:p>
            <w:pPr>
              <w:pStyle w:val="16"/>
              <w:ind w:firstLine="0" w:firstLineChars="0"/>
              <w:jc w:val="left"/>
              <w:rPr>
                <w:rFonts w:hint="eastAsia" w:ascii="宋体" w:hAnsi="宋体"/>
                <w:kern w:val="0"/>
                <w:sz w:val="18"/>
                <w:szCs w:val="18"/>
              </w:rPr>
            </w:pPr>
            <w:r>
              <w:rPr>
                <w:rFonts w:hint="eastAsia"/>
                <w:kern w:val="0"/>
                <w:sz w:val="18"/>
                <w:szCs w:val="18"/>
              </w:rPr>
              <w:t>具备</w:t>
            </w:r>
            <w:r>
              <w:rPr>
                <w:kern w:val="0"/>
                <w:sz w:val="18"/>
                <w:szCs w:val="18"/>
              </w:rPr>
              <w:t>相关</w:t>
            </w:r>
            <w:r>
              <w:rPr>
                <w:rFonts w:hint="eastAsia"/>
                <w:kern w:val="0"/>
                <w:sz w:val="18"/>
                <w:szCs w:val="18"/>
              </w:rPr>
              <w:t>单点</w:t>
            </w:r>
            <w:r>
              <w:rPr>
                <w:kern w:val="0"/>
                <w:sz w:val="18"/>
                <w:szCs w:val="18"/>
              </w:rPr>
              <w:t>登录</w:t>
            </w:r>
            <w:r>
              <w:rPr>
                <w:rFonts w:hint="eastAsia"/>
                <w:kern w:val="0"/>
                <w:sz w:val="18"/>
                <w:szCs w:val="18"/>
              </w:rPr>
              <w:t>访问</w:t>
            </w:r>
            <w:r>
              <w:rPr>
                <w:kern w:val="0"/>
                <w:sz w:val="18"/>
                <w:szCs w:val="18"/>
              </w:rPr>
              <w:t>系统</w:t>
            </w:r>
            <w:r>
              <w:rPr>
                <w:rFonts w:hint="eastAsia"/>
                <w:kern w:val="0"/>
                <w:sz w:val="18"/>
                <w:szCs w:val="18"/>
              </w:rPr>
              <w:t>功能。</w:t>
            </w:r>
            <w:r>
              <w:rPr>
                <w:kern w:val="0"/>
                <w:sz w:val="18"/>
                <w:szCs w:val="18"/>
              </w:rPr>
              <w:t>提供相关证明材料</w:t>
            </w:r>
            <w:r>
              <w:rPr>
                <w:rFonts w:hint="eastAsia"/>
                <w:kern w:val="0"/>
                <w:sz w:val="18"/>
                <w:szCs w:val="18"/>
              </w:rPr>
              <w:t>（提供证书复印件，并加盖公章）</w:t>
            </w:r>
          </w:p>
        </w:tc>
      </w:tr>
    </w:tbl>
    <w:p>
      <w:pPr>
        <w:widowControl/>
        <w:adjustRightInd w:val="0"/>
        <w:snapToGrid w:val="0"/>
        <w:spacing w:line="360" w:lineRule="auto"/>
        <w:jc w:val="left"/>
        <w:rPr>
          <w:rFonts w:hint="eastAsia"/>
          <w:b/>
          <w:sz w:val="24"/>
        </w:rPr>
      </w:pPr>
    </w:p>
    <w:p>
      <w:pPr>
        <w:numPr>
          <w:ilvl w:val="0"/>
          <w:numId w:val="3"/>
        </w:numPr>
        <w:spacing w:line="360" w:lineRule="auto"/>
        <w:rPr>
          <w:rFonts w:hint="eastAsia" w:ascii="宋体" w:hAnsi="宋体"/>
          <w:b/>
          <w:bCs/>
          <w:sz w:val="24"/>
        </w:rPr>
      </w:pPr>
      <w:r>
        <w:rPr>
          <w:rFonts w:hint="eastAsia" w:ascii="宋体" w:hAnsi="宋体"/>
          <w:b/>
          <w:bCs/>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8890</wp:posOffset>
                </wp:positionV>
                <wp:extent cx="342900" cy="424180"/>
                <wp:effectExtent l="0" t="0" r="0" b="13970"/>
                <wp:wrapNone/>
                <wp:docPr id="6" name="文本框 6"/>
                <wp:cNvGraphicFramePr/>
                <a:graphic xmlns:a="http://schemas.openxmlformats.org/drawingml/2006/main">
                  <a:graphicData uri="http://schemas.microsoft.com/office/word/2010/wordprocessingShape">
                    <wps:wsp>
                      <wps:cNvSpPr txBox="1"/>
                      <wps:spPr>
                        <a:xfrm>
                          <a:off x="0" y="0"/>
                          <a:ext cx="342900" cy="4241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27pt;margin-top:0.7pt;height:33.4pt;width:27pt;z-index:251659264;mso-width-relative:page;mso-height-relative:page;" fillcolor="#FFFFFF" filled="t" stroked="f" coordsize="21600,21600" o:gfxdata="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RSxPNMAAAAFAQAADwAAAAAAAAABACAAAAAiAAAAZHJzL2Rvd25yZXYueG1sUEsB&#10;AhQAFAAAAAgAh07iQDHM1kzBAQAAdgMAAA4AAAAAAAAAAQAgAAAAIgEAAGRycy9lMm9Eb2MueG1s&#10;UEsFBgAAAAAGAAYAWQEAAFUFA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r>
        <w:rPr>
          <w:rFonts w:hint="eastAsia" w:ascii="宋体" w:hAnsi="宋体"/>
          <w:b/>
          <w:bCs/>
          <w:sz w:val="24"/>
        </w:rPr>
        <w:t>商务要求</w:t>
      </w:r>
    </w:p>
    <w:p>
      <w:pPr>
        <w:numPr>
          <w:ilvl w:val="1"/>
          <w:numId w:val="4"/>
        </w:numPr>
        <w:spacing w:line="360" w:lineRule="auto"/>
        <w:rPr>
          <w:rFonts w:hint="eastAsia"/>
          <w:kern w:val="0"/>
          <w:sz w:val="24"/>
        </w:rPr>
      </w:pPr>
      <w:r>
        <w:rPr>
          <w:rFonts w:hint="eastAsia"/>
          <w:kern w:val="0"/>
          <w:sz w:val="24"/>
        </w:rPr>
        <w:t xml:space="preserve"> </w:t>
      </w:r>
      <w:r>
        <w:rPr>
          <w:rFonts w:hint="eastAsia"/>
          <w:sz w:val="24"/>
        </w:rPr>
        <w:t>提供原厂授权书及质保函</w:t>
      </w:r>
    </w:p>
    <w:p>
      <w:pPr>
        <w:numPr>
          <w:ilvl w:val="1"/>
          <w:numId w:val="4"/>
        </w:numPr>
        <w:spacing w:line="360" w:lineRule="auto"/>
        <w:rPr>
          <w:rFonts w:hint="eastAsia"/>
          <w:kern w:val="0"/>
          <w:sz w:val="24"/>
        </w:rPr>
      </w:pPr>
      <w:r>
        <w:rPr>
          <w:rFonts w:hint="eastAsia"/>
          <w:b/>
          <w:sz w:val="24"/>
        </w:rPr>
        <w:t xml:space="preserve"> </w:t>
      </w:r>
      <w:r>
        <w:rPr>
          <w:kern w:val="0"/>
          <w:sz w:val="24"/>
        </w:rPr>
        <w:t>上门安装服务。</w:t>
      </w:r>
    </w:p>
    <w:p>
      <w:pPr>
        <w:numPr>
          <w:ilvl w:val="1"/>
          <w:numId w:val="4"/>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r>
        <w:rPr>
          <w:rFonts w:hint="eastAsia"/>
          <w:kern w:val="0"/>
          <w:sz w:val="24"/>
        </w:rPr>
        <w:t>；</w:t>
      </w:r>
      <w:r>
        <w:rPr>
          <w:rFonts w:hint="eastAsia" w:ascii="宋体" w:hAnsi="宋体"/>
          <w:sz w:val="24"/>
        </w:rPr>
        <w:t>三年免费硬件保修、软件版本升级</w:t>
      </w:r>
    </w:p>
    <w:p>
      <w:pPr>
        <w:numPr>
          <w:ilvl w:val="1"/>
          <w:numId w:val="4"/>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p>
    <w:p>
      <w:pPr>
        <w:spacing w:line="360" w:lineRule="auto"/>
        <w:rPr>
          <w:rFonts w:hint="eastAsia"/>
          <w:kern w:val="0"/>
          <w:sz w:val="24"/>
        </w:rPr>
      </w:pPr>
      <w:r>
        <w:rPr>
          <w:rFonts w:hint="eastAsia"/>
          <w:kern w:val="0"/>
          <w:sz w:val="24"/>
        </w:rPr>
        <w:t xml:space="preserve"> </w:t>
      </w: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2"/>
        <w:tblW w:w="0" w:type="auto"/>
        <w:jc w:val="center"/>
        <w:tblLayout w:type="fixed"/>
        <w:tblCellMar>
          <w:top w:w="0" w:type="dxa"/>
          <w:left w:w="30" w:type="dxa"/>
          <w:bottom w:w="0" w:type="dxa"/>
          <w:right w:w="30" w:type="dxa"/>
        </w:tblCellMar>
      </w:tblPr>
      <w:tblGrid>
        <w:gridCol w:w="471"/>
        <w:gridCol w:w="3489"/>
        <w:gridCol w:w="276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olor w:val="000000"/>
                <w:sz w:val="18"/>
                <w:szCs w:val="18"/>
              </w:rPr>
              <w:t>运维审计系统</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widowControl/>
        <w:adjustRightInd w:val="0"/>
        <w:snapToGrid w:val="0"/>
        <w:spacing w:line="360" w:lineRule="auto"/>
        <w:jc w:val="left"/>
        <w:rPr>
          <w:rFonts w:hint="eastAsia"/>
          <w:b/>
          <w:sz w:val="24"/>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610870</wp:posOffset>
                </wp:positionH>
                <wp:positionV relativeFrom="paragraph">
                  <wp:posOffset>120650</wp:posOffset>
                </wp:positionV>
                <wp:extent cx="342900" cy="820420"/>
                <wp:effectExtent l="0" t="0" r="0" b="17780"/>
                <wp:wrapNone/>
                <wp:docPr id="7" name="文本框 7"/>
                <wp:cNvGraphicFramePr/>
                <a:graphic xmlns:a="http://schemas.openxmlformats.org/drawingml/2006/main">
                  <a:graphicData uri="http://schemas.microsoft.com/office/word/2010/wordprocessingShape">
                    <wps:wsp>
                      <wps:cNvSpPr txBox="1"/>
                      <wps:spPr>
                        <a:xfrm>
                          <a:off x="0" y="0"/>
                          <a:ext cx="342900" cy="82042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48.1pt;margin-top:9.5pt;height:64.6pt;width:27pt;z-index:251658240;mso-width-relative:page;mso-height-relative:page;" fillcolor="#FFFFFF" filled="t" stroked="f" coordsize="21600,21600" o:gfxdata="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4ec59UAAAAJAQAADwAAAAAAAAABACAAAAAiAAAAZHJzL2Rvd25yZXYueG1s&#10;UEsBAhQAFAAAAAgAh07iQIkqMpfCAQAAdgMAAA4AAAAAAAAAAQAgAAAAJAEAAGRycy9lMm9Eb2Mu&#10;eG1sUEsFBgAAAAAGAAYAWQEAAFgFA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p>
    <w:p>
      <w:pPr>
        <w:widowControl/>
        <w:adjustRightInd w:val="0"/>
        <w:snapToGrid w:val="0"/>
        <w:spacing w:line="360" w:lineRule="auto"/>
        <w:ind w:firstLine="420" w:firstLineChars="200"/>
        <w:jc w:val="left"/>
        <w:rPr>
          <w:rFonts w:hint="eastAsia"/>
          <w:sz w:val="24"/>
        </w:rPr>
      </w:pPr>
      <w:r>
        <w:rPr>
          <w:rFonts w:hint="eastAsia"/>
        </w:rPr>
        <w:t>注：“      ”为关键指标必须满足</w:t>
      </w:r>
    </w:p>
    <w:p>
      <w:pPr>
        <w:widowControl/>
        <w:adjustRightInd w:val="0"/>
        <w:snapToGrid w:val="0"/>
        <w:ind w:right="1040"/>
        <w:rPr>
          <w:rFonts w:hint="eastAsia" w:ascii="仿宋_GB2312" w:hAnsi="宋体" w:eastAsia="仿宋_GB2312"/>
          <w:color w:val="000000"/>
          <w:spacing w:val="10"/>
          <w:kern w:val="0"/>
          <w:sz w:val="30"/>
          <w:szCs w:val="30"/>
        </w:rPr>
      </w:pPr>
    </w:p>
    <w:p>
      <w:pPr>
        <w:pStyle w:val="17"/>
        <w:adjustRightInd w:val="0"/>
        <w:snapToGrid w:val="0"/>
        <w:spacing w:before="0" w:after="0" w:line="360" w:lineRule="exact"/>
        <w:rPr>
          <w:rFonts w:hint="eastAsia"/>
          <w:b/>
        </w:rPr>
      </w:pPr>
    </w:p>
    <w:p>
      <w:pPr>
        <w:pStyle w:val="17"/>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8"/>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4" w:name="_Toc120614281"/>
      <w:bookmarkStart w:id="35" w:name="_Toc26554093"/>
      <w:bookmarkStart w:id="36" w:name="_Toc49090575"/>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7"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7"/>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28</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按项目需求12项，每项2分</w:t>
      </w:r>
      <w:r>
        <w:rPr>
          <w:rFonts w:hint="eastAsia" w:ascii="宋体" w:hAnsi="宋体"/>
          <w:color w:val="000000"/>
          <w:sz w:val="24"/>
        </w:rPr>
        <w:t>，完全响应得</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28</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13</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3</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2</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响应时间3分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4</w:t>
      </w:r>
      <w:r>
        <w:rPr>
          <w:rFonts w:hint="eastAsia" w:ascii="宋体" w:hAnsi="宋体"/>
          <w:b/>
          <w:sz w:val="24"/>
        </w:rPr>
        <w:t>.投标人履行合同的能力（</w:t>
      </w:r>
      <w:r>
        <w:rPr>
          <w:rFonts w:hint="eastAsia" w:ascii="宋体" w:hAnsi="宋体"/>
          <w:b/>
          <w:sz w:val="24"/>
          <w:lang w:val="en-US" w:eastAsia="zh-CN"/>
        </w:rPr>
        <w:t>9</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ind w:firstLine="480" w:firstLineChars="200"/>
        <w:jc w:val="left"/>
        <w:rPr>
          <w:rFonts w:hint="default" w:ascii="宋体" w:hAnsi="宋体" w:eastAsia="宋体"/>
          <w:sz w:val="24"/>
          <w:lang w:val="en-US" w:eastAsia="zh-CN"/>
        </w:rPr>
      </w:pPr>
      <w:r>
        <w:rPr>
          <w:rFonts w:hint="eastAsia" w:ascii="宋体" w:hAnsi="宋体"/>
          <w:sz w:val="24"/>
        </w:rPr>
        <w:t>（1）</w:t>
      </w:r>
      <w:r>
        <w:rPr>
          <w:rFonts w:hint="eastAsia" w:hAnsi="宋体"/>
          <w:sz w:val="24"/>
        </w:rPr>
        <w:t>具备</w:t>
      </w:r>
      <w:r>
        <w:rPr>
          <w:rFonts w:hAnsi="宋体"/>
          <w:sz w:val="24"/>
        </w:rPr>
        <w:t>中国</w:t>
      </w:r>
      <w:r>
        <w:rPr>
          <w:rFonts w:hint="eastAsia" w:hAnsi="宋体"/>
          <w:sz w:val="24"/>
        </w:rPr>
        <w:t>网络安全审查技术与认证中心</w:t>
      </w:r>
      <w:r>
        <w:rPr>
          <w:rFonts w:hAnsi="宋体"/>
          <w:sz w:val="24"/>
        </w:rPr>
        <w:t>颁发的符合</w:t>
      </w:r>
      <w:r>
        <w:rPr>
          <w:sz w:val="24"/>
        </w:rPr>
        <w:t xml:space="preserve">GB/T 20945-2013 </w:t>
      </w:r>
      <w:r>
        <w:rPr>
          <w:rFonts w:hAnsi="宋体"/>
          <w:sz w:val="24"/>
        </w:rPr>
        <w:t>《信息安全技术</w:t>
      </w:r>
      <w:r>
        <w:rPr>
          <w:rFonts w:hint="eastAsia" w:hAnsi="宋体"/>
          <w:sz w:val="24"/>
        </w:rPr>
        <w:t>信息系统安全审计</w:t>
      </w:r>
      <w:r>
        <w:rPr>
          <w:rFonts w:hAnsi="宋体"/>
          <w:sz w:val="24"/>
        </w:rPr>
        <w:t>产品技术要求》</w:t>
      </w:r>
      <w:r>
        <w:rPr>
          <w:rFonts w:hint="eastAsia" w:hAnsi="宋体"/>
          <w:sz w:val="24"/>
          <w:lang w:eastAsia="zh-CN"/>
        </w:rPr>
        <w:t>；</w:t>
      </w:r>
      <w:r>
        <w:rPr>
          <w:rFonts w:hint="eastAsia" w:hAnsi="宋体"/>
          <w:kern w:val="0"/>
          <w:sz w:val="24"/>
          <w:lang w:eastAsia="zh-CN"/>
        </w:rPr>
        <w:t>得</w:t>
      </w:r>
      <w:r>
        <w:rPr>
          <w:rFonts w:hint="eastAsia" w:hAnsi="宋体"/>
          <w:kern w:val="0"/>
          <w:sz w:val="24"/>
          <w:lang w:val="en-US" w:eastAsia="zh-CN"/>
        </w:rPr>
        <w:t>3分；</w:t>
      </w:r>
    </w:p>
    <w:p>
      <w:pPr>
        <w:widowControl/>
        <w:spacing w:line="360" w:lineRule="auto"/>
        <w:ind w:firstLine="480" w:firstLineChars="200"/>
        <w:rPr>
          <w:rFonts w:hint="default" w:eastAsia="宋体"/>
          <w:kern w:val="0"/>
          <w:sz w:val="24"/>
          <w:lang w:val="en-US" w:eastAsia="zh-CN"/>
        </w:rPr>
      </w:pPr>
      <w:r>
        <w:rPr>
          <w:rFonts w:ascii="宋体" w:hAnsi="宋体"/>
          <w:sz w:val="24"/>
        </w:rPr>
        <w:t>（</w:t>
      </w:r>
      <w:r>
        <w:rPr>
          <w:rFonts w:hint="eastAsia" w:ascii="宋体" w:hAnsi="宋体"/>
          <w:sz w:val="24"/>
        </w:rPr>
        <w:t>2</w:t>
      </w:r>
      <w:r>
        <w:rPr>
          <w:rFonts w:ascii="宋体" w:hAnsi="宋体"/>
          <w:sz w:val="24"/>
        </w:rPr>
        <w:t>）</w:t>
      </w:r>
      <w:r>
        <w:rPr>
          <w:rFonts w:hint="eastAsia"/>
          <w:kern w:val="0"/>
          <w:sz w:val="24"/>
        </w:rPr>
        <w:t>具备全球IPv6测试中心颁发的《IPv6 Ready Logo 认证》证书</w:t>
      </w:r>
      <w:r>
        <w:rPr>
          <w:rFonts w:hint="eastAsia"/>
          <w:kern w:val="0"/>
          <w:sz w:val="24"/>
          <w:lang w:eastAsia="zh-CN"/>
        </w:rPr>
        <w:t>，得</w:t>
      </w:r>
      <w:r>
        <w:rPr>
          <w:rFonts w:hint="eastAsia"/>
          <w:kern w:val="0"/>
          <w:sz w:val="24"/>
          <w:lang w:val="en-US" w:eastAsia="zh-CN"/>
        </w:rPr>
        <w:t>2分</w:t>
      </w:r>
    </w:p>
    <w:p>
      <w:pPr>
        <w:widowControl/>
        <w:spacing w:line="360" w:lineRule="auto"/>
        <w:ind w:firstLine="480" w:firstLineChars="200"/>
        <w:rPr>
          <w:rFonts w:hint="default" w:eastAsia="宋体"/>
          <w:kern w:val="0"/>
          <w:sz w:val="24"/>
          <w:lang w:val="en-US" w:eastAsia="zh-CN"/>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厂家具备足够的信息安全服务技术实力及安全服务保障能力，获得中国网络安全审查技术与认证中心颁发的信息系统安全运维一级服务资质证书</w:t>
      </w:r>
      <w:r>
        <w:rPr>
          <w:rFonts w:hint="eastAsia"/>
          <w:kern w:val="0"/>
          <w:sz w:val="24"/>
          <w:lang w:eastAsia="zh-CN"/>
        </w:rPr>
        <w:t>，得</w:t>
      </w:r>
      <w:r>
        <w:rPr>
          <w:rFonts w:hint="eastAsia"/>
          <w:kern w:val="0"/>
          <w:sz w:val="24"/>
          <w:lang w:val="en-US" w:eastAsia="zh-CN"/>
        </w:rPr>
        <w:t>2分；</w:t>
      </w:r>
    </w:p>
    <w:p>
      <w:pPr>
        <w:widowControl/>
        <w:spacing w:line="360" w:lineRule="auto"/>
        <w:ind w:left="539" w:leftChars="228" w:hanging="60" w:hangingChars="25"/>
        <w:jc w:val="left"/>
        <w:rPr>
          <w:rFonts w:hAnsi="宋体"/>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Ansi="宋体"/>
          <w:kern w:val="0"/>
          <w:sz w:val="24"/>
        </w:rPr>
        <w:t xml:space="preserve"> </w:t>
      </w:r>
      <w:r>
        <w:rPr>
          <w:rFonts w:hint="eastAsia" w:hAnsi="宋体"/>
          <w:sz w:val="24"/>
        </w:rPr>
        <w:t>厂商</w:t>
      </w:r>
      <w:r>
        <w:rPr>
          <w:rFonts w:hAnsi="宋体"/>
          <w:sz w:val="24"/>
        </w:rPr>
        <w:t>具有符合</w:t>
      </w:r>
      <w:r>
        <w:rPr>
          <w:rFonts w:hint="eastAsia"/>
          <w:sz w:val="24"/>
        </w:rPr>
        <w:t>ISO/IEC</w:t>
      </w:r>
      <w:r>
        <w:rPr>
          <w:sz w:val="24"/>
        </w:rPr>
        <w:t xml:space="preserve"> 20000</w:t>
      </w:r>
      <w:r>
        <w:rPr>
          <w:rFonts w:hint="eastAsia"/>
          <w:sz w:val="24"/>
        </w:rPr>
        <w:t>-</w:t>
      </w:r>
      <w:r>
        <w:rPr>
          <w:sz w:val="24"/>
        </w:rPr>
        <w:t>1</w:t>
      </w:r>
      <w:r>
        <w:rPr>
          <w:rFonts w:hint="eastAsia"/>
          <w:sz w:val="24"/>
        </w:rPr>
        <w:t>:2</w:t>
      </w:r>
      <w:r>
        <w:rPr>
          <w:sz w:val="24"/>
        </w:rPr>
        <w:t>011</w:t>
      </w:r>
      <w:r>
        <w:rPr>
          <w:rFonts w:hAnsi="宋体"/>
          <w:sz w:val="24"/>
        </w:rPr>
        <w:t>标准的《</w:t>
      </w:r>
      <w:r>
        <w:rPr>
          <w:rFonts w:hint="eastAsia" w:hAnsi="宋体"/>
          <w:sz w:val="24"/>
        </w:rPr>
        <w:t>服务管理</w:t>
      </w:r>
      <w:r>
        <w:rPr>
          <w:rFonts w:hAnsi="宋体"/>
          <w:sz w:val="24"/>
        </w:rPr>
        <w:t>体系认证证书》</w:t>
      </w:r>
      <w:r>
        <w:rPr>
          <w:rFonts w:hint="eastAsia" w:hAnsi="宋体"/>
          <w:kern w:val="0"/>
          <w:sz w:val="24"/>
          <w:lang w:eastAsia="zh-CN"/>
        </w:rPr>
        <w:t>，</w:t>
      </w:r>
      <w:r>
        <w:rPr>
          <w:rFonts w:hint="eastAsia"/>
          <w:kern w:val="0"/>
          <w:sz w:val="24"/>
          <w:lang w:eastAsia="zh-CN"/>
        </w:rPr>
        <w:t>得</w:t>
      </w:r>
      <w:r>
        <w:rPr>
          <w:rFonts w:hint="eastAsia"/>
          <w:kern w:val="0"/>
          <w:sz w:val="24"/>
          <w:lang w:val="en-US" w:eastAsia="zh-CN"/>
        </w:rPr>
        <w:t>2分。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cs="宋体"/>
          <w:bCs/>
          <w:sz w:val="4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bookmarkEnd w:id="29"/>
      <w:bookmarkEnd w:id="30"/>
      <w:bookmarkEnd w:id="34"/>
      <w:bookmarkEnd w:id="35"/>
      <w:bookmarkEnd w:id="36"/>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8" w:name="_Hlt26671244"/>
      <w:bookmarkEnd w:id="38"/>
      <w:bookmarkStart w:id="39" w:name="_Hlt26955039"/>
      <w:bookmarkEnd w:id="39"/>
      <w:bookmarkStart w:id="40" w:name="_Toc49090576"/>
      <w:bookmarkStart w:id="41" w:name="_Toc120614282"/>
      <w:bookmarkStart w:id="42" w:name="_Toc26554094"/>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40"/>
    <w:bookmarkEnd w:id="41"/>
    <w:bookmarkEnd w:id="42"/>
    <w:p>
      <w:pPr>
        <w:pStyle w:val="5"/>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5"/>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5"/>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5"/>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5"/>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5"/>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5"/>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8"/>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8"/>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8"/>
        <w:rPr>
          <w:rFonts w:hint="eastAsia" w:ascii="宋体" w:hAnsi="宋体" w:cs="宋体"/>
        </w:rPr>
      </w:pPr>
    </w:p>
    <w:p>
      <w:pPr>
        <w:pStyle w:val="7"/>
        <w:jc w:val="center"/>
        <w:rPr>
          <w:rFonts w:hint="eastAsia" w:ascii="宋体" w:hAnsi="宋体" w:cs="宋体"/>
          <w:bCs w:val="0"/>
        </w:rPr>
      </w:pPr>
      <w:r>
        <w:rPr>
          <w:rFonts w:hint="eastAsia" w:ascii="宋体" w:hAnsi="宋体" w:cs="宋体"/>
        </w:rPr>
        <w:br w:type="page"/>
      </w:r>
      <w:bookmarkEnd w:id="43"/>
      <w:bookmarkStart w:id="45" w:name="_格式3__银行出具的资信证明"/>
      <w:bookmarkEnd w:id="45"/>
      <w:bookmarkStart w:id="46" w:name="_Hlt26671380"/>
      <w:bookmarkEnd w:id="46"/>
      <w:bookmarkStart w:id="47" w:name="_Hlt26955070"/>
      <w:bookmarkEnd w:id="47"/>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22356580"/>
      <w:bookmarkStart w:id="51" w:name="_Toc49090577"/>
      <w:bookmarkStart w:id="52" w:name="_Toc513029276"/>
      <w:bookmarkStart w:id="53" w:name="_Toc23828478"/>
      <w:bookmarkStart w:id="54" w:name="_Toc26554095"/>
      <w:bookmarkStart w:id="55" w:name="_Toc120614283"/>
      <w:bookmarkStart w:id="56" w:name="_Toc460901585"/>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序号</w:t>
            </w:r>
          </w:p>
        </w:tc>
        <w:tc>
          <w:tcPr>
            <w:tcW w:w="2976" w:type="dxa"/>
            <w:noWrap w:val="0"/>
            <w:vAlign w:val="center"/>
          </w:tcPr>
          <w:p>
            <w:pPr>
              <w:pStyle w:val="19"/>
              <w:ind w:left="420"/>
              <w:jc w:val="center"/>
              <w:rPr>
                <w:rFonts w:hint="eastAsia" w:hAnsi="宋体"/>
                <w:color w:val="auto"/>
              </w:rPr>
            </w:pPr>
            <w:r>
              <w:rPr>
                <w:rFonts w:hint="eastAsia" w:hAnsi="宋体"/>
                <w:color w:val="auto"/>
              </w:rPr>
              <w:t>项目</w:t>
            </w:r>
          </w:p>
        </w:tc>
        <w:tc>
          <w:tcPr>
            <w:tcW w:w="1985" w:type="dxa"/>
            <w:noWrap w:val="0"/>
            <w:vAlign w:val="center"/>
          </w:tcPr>
          <w:p>
            <w:pPr>
              <w:pStyle w:val="19"/>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9"/>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9"/>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1</w:t>
            </w:r>
          </w:p>
        </w:tc>
        <w:tc>
          <w:tcPr>
            <w:tcW w:w="2976" w:type="dxa"/>
            <w:noWrap w:val="0"/>
            <w:vAlign w:val="center"/>
          </w:tcPr>
          <w:p>
            <w:pPr>
              <w:pStyle w:val="19"/>
              <w:ind w:left="420"/>
              <w:jc w:val="center"/>
              <w:rPr>
                <w:rFonts w:hint="eastAsia" w:hAnsi="宋体"/>
                <w:color w:val="auto"/>
              </w:rPr>
            </w:pPr>
            <w:r>
              <w:rPr>
                <w:rFonts w:hint="eastAsia" w:hAnsi="宋体"/>
                <w:color w:val="auto"/>
              </w:rPr>
              <w:t>质保期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2</w:t>
            </w:r>
          </w:p>
        </w:tc>
        <w:tc>
          <w:tcPr>
            <w:tcW w:w="2976" w:type="dxa"/>
            <w:noWrap w:val="0"/>
            <w:vAlign w:val="center"/>
          </w:tcPr>
          <w:p>
            <w:pPr>
              <w:pStyle w:val="19"/>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3</w:t>
            </w:r>
          </w:p>
        </w:tc>
        <w:tc>
          <w:tcPr>
            <w:tcW w:w="2976" w:type="dxa"/>
            <w:noWrap w:val="0"/>
            <w:vAlign w:val="center"/>
          </w:tcPr>
          <w:p>
            <w:pPr>
              <w:pStyle w:val="19"/>
              <w:ind w:left="420"/>
              <w:jc w:val="center"/>
              <w:rPr>
                <w:rFonts w:hint="eastAsia" w:hAnsi="宋体"/>
                <w:color w:val="auto"/>
              </w:rPr>
            </w:pPr>
            <w:r>
              <w:rPr>
                <w:rFonts w:hint="eastAsia" w:hAnsi="宋体"/>
                <w:color w:val="auto"/>
              </w:rPr>
              <w:t>供货期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4</w:t>
            </w:r>
          </w:p>
        </w:tc>
        <w:tc>
          <w:tcPr>
            <w:tcW w:w="2976" w:type="dxa"/>
            <w:noWrap w:val="0"/>
            <w:vAlign w:val="center"/>
          </w:tcPr>
          <w:p>
            <w:pPr>
              <w:pStyle w:val="19"/>
              <w:ind w:left="420"/>
              <w:jc w:val="center"/>
              <w:rPr>
                <w:rFonts w:hint="eastAsia" w:hAnsi="宋体"/>
                <w:color w:val="auto"/>
              </w:rPr>
            </w:pPr>
            <w:r>
              <w:rPr>
                <w:rFonts w:hint="eastAsia" w:hAnsi="宋体"/>
                <w:color w:val="auto"/>
              </w:rPr>
              <w:t>交货方式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5</w:t>
            </w:r>
          </w:p>
        </w:tc>
        <w:tc>
          <w:tcPr>
            <w:tcW w:w="2976" w:type="dxa"/>
            <w:noWrap w:val="0"/>
            <w:vAlign w:val="center"/>
          </w:tcPr>
          <w:p>
            <w:pPr>
              <w:pStyle w:val="19"/>
              <w:ind w:left="420"/>
              <w:jc w:val="center"/>
              <w:rPr>
                <w:rFonts w:hint="eastAsia" w:hAnsi="宋体"/>
                <w:color w:val="auto"/>
              </w:rPr>
            </w:pPr>
            <w:r>
              <w:rPr>
                <w:rFonts w:hint="eastAsia" w:hAnsi="宋体"/>
                <w:color w:val="auto"/>
              </w:rPr>
              <w:t>付款方式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6</w:t>
            </w:r>
          </w:p>
        </w:tc>
        <w:tc>
          <w:tcPr>
            <w:tcW w:w="2976" w:type="dxa"/>
            <w:noWrap w:val="0"/>
            <w:vAlign w:val="center"/>
          </w:tcPr>
          <w:p>
            <w:pPr>
              <w:pStyle w:val="19"/>
              <w:ind w:left="420"/>
              <w:jc w:val="center"/>
              <w:rPr>
                <w:rFonts w:hint="eastAsia" w:hAnsi="宋体"/>
                <w:color w:val="auto"/>
              </w:rPr>
            </w:pPr>
            <w:r>
              <w:rPr>
                <w:rFonts w:hint="eastAsia" w:hAnsi="宋体"/>
                <w:color w:val="auto"/>
              </w:rPr>
              <w:t>投标货币</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7</w:t>
            </w:r>
          </w:p>
        </w:tc>
        <w:tc>
          <w:tcPr>
            <w:tcW w:w="2976" w:type="dxa"/>
            <w:noWrap w:val="0"/>
            <w:vAlign w:val="center"/>
          </w:tcPr>
          <w:p>
            <w:pPr>
              <w:pStyle w:val="19"/>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8</w:t>
            </w:r>
          </w:p>
        </w:tc>
        <w:tc>
          <w:tcPr>
            <w:tcW w:w="2976" w:type="dxa"/>
            <w:noWrap w:val="0"/>
            <w:vAlign w:val="center"/>
          </w:tcPr>
          <w:p>
            <w:pPr>
              <w:pStyle w:val="19"/>
              <w:ind w:left="420"/>
              <w:jc w:val="center"/>
              <w:rPr>
                <w:rFonts w:hint="eastAsia" w:hAnsi="宋体"/>
                <w:color w:val="auto"/>
              </w:rPr>
            </w:pPr>
            <w:r>
              <w:rPr>
                <w:rFonts w:hint="eastAsia" w:hAnsi="宋体"/>
                <w:color w:val="auto"/>
              </w:rPr>
              <w:t>培训方式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p>
        </w:tc>
        <w:tc>
          <w:tcPr>
            <w:tcW w:w="2976" w:type="dxa"/>
            <w:noWrap w:val="0"/>
            <w:vAlign w:val="center"/>
          </w:tcPr>
          <w:p>
            <w:pPr>
              <w:pStyle w:val="19"/>
              <w:ind w:left="420"/>
              <w:jc w:val="center"/>
              <w:rPr>
                <w:rFonts w:hint="eastAsia" w:hAnsi="宋体"/>
                <w:color w:val="auto"/>
              </w:rPr>
            </w:pP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bl>
    <w:p>
      <w:pPr>
        <w:pStyle w:val="19"/>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9"/>
        <w:spacing w:line="360" w:lineRule="exact"/>
        <w:ind w:left="420"/>
        <w:rPr>
          <w:rFonts w:hint="eastAsia" w:hAnsi="宋体"/>
          <w:color w:val="auto"/>
        </w:rPr>
      </w:pPr>
      <w:r>
        <w:rPr>
          <w:rFonts w:hint="eastAsia" w:hAnsi="宋体"/>
          <w:color w:val="auto"/>
        </w:rPr>
        <w:t>注：</w:t>
      </w:r>
    </w:p>
    <w:p>
      <w:pPr>
        <w:pStyle w:val="19"/>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9"/>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9"/>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9"/>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r>
      <w:rPr>
        <w:rFonts w:hint="eastAsia"/>
        <w:lang w:val="en-US" w:eastAsia="zh-CN"/>
      </w:rPr>
      <w:t>校园一卡通运维审计系统采购项目</w:t>
    </w:r>
    <w:r>
      <w:rPr>
        <w:rFonts w:hint="eastAsia"/>
        <w:strike w:val="0"/>
        <w:dstrike w:val="0"/>
        <w:sz w:val="24"/>
        <w:szCs w:val="32"/>
      </w:rPr>
      <w:t>TDHQ20</w:t>
    </w:r>
    <w:r>
      <w:rPr>
        <w:rFonts w:hint="eastAsia"/>
        <w:strike w:val="0"/>
        <w:dstrike w:val="0"/>
        <w:sz w:val="24"/>
        <w:szCs w:val="32"/>
        <w:lang w:val="en-US" w:eastAsia="zh-CN"/>
      </w:rPr>
      <w:t>20024</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4D991F00"/>
    <w:multiLevelType w:val="multilevel"/>
    <w:tmpl w:val="4D991F0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DDFE60"/>
    <w:multiLevelType w:val="singleLevel"/>
    <w:tmpl w:val="58DDFE60"/>
    <w:lvl w:ilvl="0" w:tentative="0">
      <w:start w:val="1"/>
      <w:numFmt w:val="chineseCounting"/>
      <w:suff w:val="nothing"/>
      <w:lvlText w:val="%1、"/>
      <w:lvlJc w:val="left"/>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66A261C"/>
    <w:rsid w:val="13F9637C"/>
    <w:rsid w:val="149D4767"/>
    <w:rsid w:val="16367209"/>
    <w:rsid w:val="19935D99"/>
    <w:rsid w:val="224E4650"/>
    <w:rsid w:val="23814017"/>
    <w:rsid w:val="248F23AC"/>
    <w:rsid w:val="28422A24"/>
    <w:rsid w:val="28E804FD"/>
    <w:rsid w:val="2974467C"/>
    <w:rsid w:val="2AA550DC"/>
    <w:rsid w:val="2B9E493B"/>
    <w:rsid w:val="2D6E1275"/>
    <w:rsid w:val="2D8C5899"/>
    <w:rsid w:val="2E657BCE"/>
    <w:rsid w:val="2F313A02"/>
    <w:rsid w:val="35467EF4"/>
    <w:rsid w:val="358B76AD"/>
    <w:rsid w:val="35DD2AF4"/>
    <w:rsid w:val="3BF76BED"/>
    <w:rsid w:val="3D16713D"/>
    <w:rsid w:val="3DED6081"/>
    <w:rsid w:val="3DEF12B0"/>
    <w:rsid w:val="3F6F6087"/>
    <w:rsid w:val="40A82832"/>
    <w:rsid w:val="41FB31EE"/>
    <w:rsid w:val="42C8303A"/>
    <w:rsid w:val="446F0737"/>
    <w:rsid w:val="472D0B65"/>
    <w:rsid w:val="48694D0E"/>
    <w:rsid w:val="4B73395D"/>
    <w:rsid w:val="4C913D80"/>
    <w:rsid w:val="4C940E7B"/>
    <w:rsid w:val="550C3B25"/>
    <w:rsid w:val="5563541B"/>
    <w:rsid w:val="58C57AF2"/>
    <w:rsid w:val="592A17A5"/>
    <w:rsid w:val="5BC468B9"/>
    <w:rsid w:val="5CD341FE"/>
    <w:rsid w:val="60F20420"/>
    <w:rsid w:val="63C52ACF"/>
    <w:rsid w:val="643571D4"/>
    <w:rsid w:val="64F61075"/>
    <w:rsid w:val="650117A0"/>
    <w:rsid w:val="6608084A"/>
    <w:rsid w:val="6CA95F52"/>
    <w:rsid w:val="6FF05E4C"/>
    <w:rsid w:val="75344604"/>
    <w:rsid w:val="75CF21D1"/>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6">
    <w:name w:val="Normal Indent"/>
    <w:basedOn w:val="1"/>
    <w:qFormat/>
    <w:uiPriority w:val="0"/>
    <w:pPr>
      <w:ind w:firstLine="420"/>
    </w:pPr>
  </w:style>
  <w:style w:type="paragraph" w:styleId="8">
    <w:name w:val="Plain Text"/>
    <w:basedOn w:val="1"/>
    <w:qFormat/>
    <w:uiPriority w:val="0"/>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6">
    <w:name w:val="列出段落1"/>
    <w:basedOn w:val="1"/>
    <w:qFormat/>
    <w:uiPriority w:val="0"/>
    <w:pPr>
      <w:ind w:leftChars="200"/>
      <w:jc w:val="left"/>
    </w:pPr>
    <w:rPr>
      <w:rFonts w:ascii="Calibri" w:hAnsi="Calibri" w:eastAsia="PMingLiU" w:cs="宋体"/>
      <w:sz w:val="24"/>
      <w:szCs w:val="22"/>
      <w:lang w:eastAsia="zh-TW"/>
    </w:rPr>
  </w:style>
  <w:style w:type="paragraph" w:customStyle="1" w:styleId="17">
    <w:name w:val="pa-0"/>
    <w:basedOn w:val="1"/>
    <w:qFormat/>
    <w:uiPriority w:val="0"/>
    <w:pPr>
      <w:widowControl/>
      <w:spacing w:before="150" w:after="150"/>
      <w:jc w:val="left"/>
    </w:pPr>
    <w:rPr>
      <w:rFonts w:ascii="宋体" w:hAnsi="宋体" w:cs="宋体"/>
      <w:kern w:val="0"/>
      <w:sz w:val="24"/>
      <w:szCs w:val="24"/>
    </w:rPr>
  </w:style>
  <w:style w:type="paragraph" w:customStyle="1" w:styleId="18">
    <w:name w:val="Char"/>
    <w:basedOn w:val="1"/>
    <w:qFormat/>
    <w:uiPriority w:val="0"/>
    <w:pPr>
      <w:tabs>
        <w:tab w:val="left" w:pos="360"/>
      </w:tabs>
    </w:pPr>
    <w:rPr>
      <w:sz w:val="24"/>
      <w:szCs w:val="24"/>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表段落"/>
    <w:basedOn w:val="1"/>
    <w:qFormat/>
    <w:uiPriority w:val="34"/>
    <w:pPr>
      <w:ind w:firstLine="420" w:firstLineChars="200"/>
    </w:pPr>
    <w:rPr>
      <w:rFonts w:ascii="Calibri" w:hAnsi="Calibri"/>
      <w:szCs w:val="22"/>
    </w:rPr>
  </w:style>
  <w:style w:type="paragraph" w:customStyle="1" w:styleId="21">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2020-10-23T07:25:05Z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