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智慧银行互动实训平台采购项目</w:t>
      </w: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ind w:firstLine="0"/>
        <w:jc w:val="center"/>
        <w:rPr>
          <w:rFonts w:hint="eastAsia" w:ascii="宋体" w:hAnsi="宋体" w:cs="宋体"/>
          <w:b/>
          <w:bCs/>
          <w:sz w:val="84"/>
        </w:rPr>
      </w:pPr>
    </w:p>
    <w:p>
      <w:pPr>
        <w:pStyle w:val="18"/>
        <w:ind w:firstLine="0"/>
        <w:jc w:val="center"/>
        <w:rPr>
          <w:rFonts w:hint="eastAsia" w:ascii="宋体" w:hAnsi="宋体" w:cs="宋体"/>
          <w:b/>
          <w:bCs/>
          <w:sz w:val="84"/>
        </w:rPr>
      </w:pPr>
      <w:r>
        <w:rPr>
          <w:rFonts w:hint="eastAsia" w:ascii="宋体" w:hAnsi="宋体" w:cs="宋体"/>
          <w:b/>
          <w:bCs/>
          <w:sz w:val="84"/>
        </w:rPr>
        <w:t>采 购 文 件</w:t>
      </w:r>
    </w:p>
    <w:p>
      <w:pPr>
        <w:pStyle w:val="18"/>
        <w:ind w:firstLine="0"/>
        <w:jc w:val="center"/>
        <w:rPr>
          <w:rFonts w:hint="eastAsia" w:ascii="宋体" w:hAnsi="宋体" w:cs="宋体"/>
          <w:b/>
          <w:bCs/>
          <w:sz w:val="32"/>
        </w:rPr>
      </w:pPr>
    </w:p>
    <w:p>
      <w:pPr>
        <w:pStyle w:val="18"/>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20031</w:t>
      </w:r>
    </w:p>
    <w:p>
      <w:pPr>
        <w:pStyle w:val="18"/>
        <w:ind w:firstLine="0"/>
        <w:jc w:val="center"/>
        <w:rPr>
          <w:rFonts w:hint="eastAsia" w:ascii="宋体" w:hAnsi="宋体" w:cs="宋体"/>
          <w:b/>
          <w:sz w:val="36"/>
          <w:szCs w:val="36"/>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8"/>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20823272"/>
      <w:bookmarkStart w:id="2" w:name="_Toc16938516"/>
      <w:bookmarkStart w:id="3" w:name="_Toc523127445"/>
      <w:bookmarkStart w:id="4" w:name="_Toc513029200"/>
      <w:bookmarkStart w:id="5" w:name="_Toc47975720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2"/>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智慧银行互动实训平台采购项目</w:t>
      </w:r>
      <w:r>
        <w:rPr>
          <w:rFonts w:hint="eastAsia"/>
          <w:sz w:val="21"/>
          <w:szCs w:val="21"/>
        </w:rPr>
        <w:t>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2"/>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w:t>
      </w:r>
      <w:r>
        <w:rPr>
          <w:rFonts w:hint="eastAsia"/>
          <w:sz w:val="21"/>
          <w:szCs w:val="21"/>
          <w:lang w:val="en-US" w:eastAsia="zh-CN"/>
        </w:rPr>
        <w:t>智慧银行互动实训平台采购项目</w:t>
      </w:r>
      <w:r>
        <w:rPr>
          <w:rFonts w:hint="eastAsia"/>
          <w:sz w:val="21"/>
          <w:szCs w:val="21"/>
        </w:rPr>
        <w:t>。（项目编号TDHQ20</w:t>
      </w:r>
      <w:r>
        <w:rPr>
          <w:rFonts w:hint="eastAsia"/>
          <w:sz w:val="21"/>
          <w:szCs w:val="21"/>
          <w:lang w:val="en-US" w:eastAsia="zh-CN"/>
        </w:rPr>
        <w:t>20031</w:t>
      </w:r>
      <w:r>
        <w:rPr>
          <w:rFonts w:hint="eastAsia"/>
          <w:sz w:val="21"/>
          <w:szCs w:val="21"/>
        </w:rPr>
        <w:t>）</w:t>
      </w:r>
    </w:p>
    <w:p>
      <w:pPr>
        <w:pStyle w:val="12"/>
        <w:shd w:val="clear" w:color="auto" w:fill="FFFFFF"/>
        <w:spacing w:before="0" w:beforeAutospacing="0" w:after="0" w:afterAutospacing="0"/>
        <w:ind w:firstLine="420"/>
        <w:rPr>
          <w:rFonts w:hint="eastAsia"/>
          <w:sz w:val="21"/>
          <w:szCs w:val="21"/>
        </w:rPr>
      </w:pPr>
      <w:bookmarkStart w:id="6" w:name="_Toc120614211"/>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智慧银行互动实训平台</w:t>
      </w:r>
      <w:r>
        <w:rPr>
          <w:rFonts w:hint="eastAsia"/>
          <w:sz w:val="21"/>
          <w:szCs w:val="21"/>
          <w:lang w:eastAsia="zh-CN"/>
        </w:rPr>
        <w:t>系统</w:t>
      </w:r>
      <w:r>
        <w:rPr>
          <w:rFonts w:hint="eastAsia"/>
          <w:sz w:val="21"/>
          <w:szCs w:val="21"/>
        </w:rPr>
        <w:t>1套（具体采购数量及要求参见采购文件）。2.项目地点：扬州市润扬南路33号。3.技术条款咨询联系人：</w:t>
      </w:r>
      <w:r>
        <w:rPr>
          <w:rFonts w:hint="eastAsia"/>
          <w:sz w:val="21"/>
          <w:szCs w:val="21"/>
          <w:lang w:eastAsia="zh-CN"/>
        </w:rPr>
        <w:t>李</w:t>
      </w:r>
      <w:r>
        <w:rPr>
          <w:rFonts w:hint="eastAsia"/>
          <w:sz w:val="21"/>
          <w:szCs w:val="21"/>
        </w:rPr>
        <w:t>老师 ，联系电话：</w:t>
      </w:r>
      <w:r>
        <w:rPr>
          <w:rFonts w:hint="eastAsia"/>
          <w:sz w:val="21"/>
          <w:szCs w:val="21"/>
          <w:lang w:val="en-US" w:eastAsia="zh-CN"/>
        </w:rPr>
        <w:t>15805153496</w:t>
      </w:r>
      <w:r>
        <w:rPr>
          <w:rFonts w:hint="eastAsia"/>
          <w:sz w:val="21"/>
          <w:szCs w:val="21"/>
        </w:rPr>
        <w:t>。（注：如不咨询，视为已理解该技术指标。）</w:t>
      </w:r>
    </w:p>
    <w:p>
      <w:pPr>
        <w:pStyle w:val="12"/>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2"/>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2"/>
        <w:shd w:val="clear" w:color="auto" w:fill="FFFFFF"/>
        <w:spacing w:before="0" w:beforeAutospacing="0" w:after="0" w:afterAutospacing="0"/>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2"/>
        <w:shd w:val="clear" w:color="auto" w:fill="FFFFFF"/>
        <w:spacing w:before="0" w:beforeAutospacing="0" w:after="0" w:afterAutospacing="0"/>
        <w:ind w:firstLine="420"/>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2"/>
        <w:shd w:val="clear" w:color="auto" w:fill="FFFFFF"/>
        <w:spacing w:before="0" w:beforeAutospacing="0" w:after="0" w:afterAutospacing="0"/>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2"/>
        <w:shd w:val="clear" w:color="auto" w:fill="FFFFFF"/>
        <w:spacing w:before="0" w:beforeAutospacing="0" w:after="0" w:afterAutospacing="0"/>
        <w:ind w:firstLine="420"/>
        <w:rPr>
          <w:rFonts w:hint="eastAsia"/>
          <w:sz w:val="21"/>
          <w:szCs w:val="21"/>
          <w:lang w:eastAsia="zh-CN"/>
        </w:rPr>
      </w:pPr>
      <w:r>
        <w:rPr>
          <w:rFonts w:hint="eastAsia"/>
          <w:sz w:val="21"/>
          <w:szCs w:val="21"/>
          <w:lang w:val="en-US" w:eastAsia="zh-CN"/>
        </w:rPr>
        <w:t>5.</w:t>
      </w:r>
      <w:r>
        <w:rPr>
          <w:rFonts w:hint="eastAsia"/>
          <w:sz w:val="21"/>
          <w:szCs w:val="21"/>
        </w:rPr>
        <w:t xml:space="preserve">投标人具有软件生产企业通过智慧教育可信云认证 </w:t>
      </w:r>
      <w:r>
        <w:rPr>
          <w:rFonts w:hint="eastAsia"/>
          <w:sz w:val="21"/>
          <w:szCs w:val="21"/>
          <w:lang w:eastAsia="zh-CN"/>
        </w:rPr>
        <w:t>；</w:t>
      </w:r>
    </w:p>
    <w:p>
      <w:pPr>
        <w:pStyle w:val="12"/>
        <w:shd w:val="clear" w:color="auto" w:fill="FFFFFF"/>
        <w:spacing w:before="0" w:beforeAutospacing="0" w:after="0" w:afterAutospacing="0"/>
        <w:ind w:firstLine="420"/>
        <w:rPr>
          <w:rFonts w:hint="eastAsia"/>
          <w:sz w:val="21"/>
          <w:szCs w:val="21"/>
        </w:rPr>
      </w:pPr>
      <w:r>
        <w:rPr>
          <w:rFonts w:hint="eastAsia"/>
          <w:sz w:val="21"/>
          <w:szCs w:val="21"/>
          <w:lang w:val="en-US" w:eastAsia="zh-CN"/>
        </w:rPr>
        <w:t>6.</w:t>
      </w:r>
      <w:r>
        <w:rPr>
          <w:rFonts w:hint="eastAsia"/>
          <w:sz w:val="21"/>
          <w:szCs w:val="21"/>
        </w:rPr>
        <w:t>投标人所投银行软件通过智慧教育可信云认证；</w:t>
      </w:r>
    </w:p>
    <w:p>
      <w:pPr>
        <w:pStyle w:val="12"/>
        <w:shd w:val="clear" w:color="auto" w:fill="FFFFFF"/>
        <w:spacing w:before="0" w:beforeAutospacing="0" w:after="0" w:afterAutospacing="0"/>
        <w:ind w:firstLine="420"/>
        <w:rPr>
          <w:rFonts w:hint="eastAsia"/>
          <w:sz w:val="21"/>
          <w:szCs w:val="21"/>
          <w:lang w:eastAsia="zh-CN"/>
        </w:rPr>
      </w:pPr>
      <w:r>
        <w:rPr>
          <w:rFonts w:hint="eastAsia"/>
          <w:sz w:val="21"/>
          <w:szCs w:val="21"/>
          <w:lang w:val="en-US" w:eastAsia="zh-CN"/>
        </w:rPr>
        <w:t>7.</w:t>
      </w:r>
      <w:r>
        <w:rPr>
          <w:rFonts w:hint="eastAsia"/>
          <w:sz w:val="21"/>
          <w:szCs w:val="21"/>
        </w:rPr>
        <w:t>所投产品提供软件著作权证书</w:t>
      </w:r>
      <w:r>
        <w:rPr>
          <w:rFonts w:hint="eastAsia"/>
          <w:sz w:val="21"/>
          <w:szCs w:val="21"/>
          <w:lang w:eastAsia="zh-CN"/>
        </w:rPr>
        <w:t>；</w:t>
      </w:r>
    </w:p>
    <w:p>
      <w:pPr>
        <w:pStyle w:val="12"/>
        <w:shd w:val="clear" w:color="auto" w:fill="FFFFFF"/>
        <w:spacing w:before="0" w:beforeAutospacing="0" w:after="0" w:afterAutospacing="0"/>
        <w:ind w:firstLine="420"/>
        <w:rPr>
          <w:rFonts w:hint="eastAsia"/>
          <w:sz w:val="21"/>
          <w:szCs w:val="21"/>
        </w:rPr>
      </w:pPr>
      <w:r>
        <w:rPr>
          <w:rFonts w:hint="eastAsia"/>
          <w:sz w:val="21"/>
          <w:szCs w:val="21"/>
          <w:lang w:val="en-US" w:eastAsia="zh-CN"/>
        </w:rPr>
        <w:t>8.</w:t>
      </w:r>
      <w:r>
        <w:rPr>
          <w:rFonts w:hint="eastAsia"/>
          <w:sz w:val="21"/>
          <w:szCs w:val="21"/>
        </w:rPr>
        <w:t>本项目不接受联合体投标。</w:t>
      </w:r>
    </w:p>
    <w:p>
      <w:pPr>
        <w:pStyle w:val="12"/>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2"/>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2"/>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2"/>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2"/>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2"/>
        <w:shd w:val="clear" w:color="auto" w:fill="FFFFFF"/>
        <w:spacing w:before="0" w:beforeAutospacing="0" w:after="0" w:afterAutospacing="0"/>
        <w:ind w:firstLine="420"/>
        <w:rPr>
          <w:rFonts w:hint="eastAsia"/>
          <w:sz w:val="21"/>
          <w:szCs w:val="21"/>
        </w:rPr>
      </w:pPr>
    </w:p>
    <w:p>
      <w:pPr>
        <w:pStyle w:val="12"/>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2"/>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十一</w:t>
      </w:r>
      <w:r>
        <w:rPr>
          <w:rFonts w:hint="eastAsia"/>
          <w:sz w:val="21"/>
          <w:szCs w:val="21"/>
        </w:rPr>
        <w:t>月</w:t>
      </w:r>
      <w:r>
        <w:rPr>
          <w:rFonts w:hint="eastAsia"/>
          <w:sz w:val="21"/>
          <w:szCs w:val="21"/>
          <w:lang w:eastAsia="zh-CN"/>
        </w:rPr>
        <w:t>十三</w:t>
      </w:r>
      <w:r>
        <w:rPr>
          <w:rFonts w:hint="eastAsia"/>
          <w:sz w:val="21"/>
          <w:szCs w:val="21"/>
        </w:rPr>
        <w:t>日</w:t>
      </w:r>
    </w:p>
    <w:p>
      <w:pPr>
        <w:pStyle w:val="12"/>
        <w:shd w:val="clear" w:color="auto" w:fill="FFFFFF"/>
        <w:spacing w:before="0" w:beforeAutospacing="0" w:after="0" w:afterAutospacing="0"/>
        <w:ind w:firstLine="420"/>
        <w:rPr>
          <w:rFonts w:hint="eastAsia"/>
          <w:sz w:val="21"/>
          <w:szCs w:val="21"/>
        </w:rPr>
      </w:pPr>
    </w:p>
    <w:p>
      <w:pPr>
        <w:pStyle w:val="4"/>
        <w:spacing w:line="300" w:lineRule="exact"/>
        <w:rPr>
          <w:rFonts w:hint="eastAsia" w:ascii="宋体" w:hAnsi="宋体" w:eastAsia="宋体" w:cs="宋体"/>
        </w:rPr>
      </w:pP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6938518"/>
      <w:bookmarkStart w:id="9" w:name="_Toc20823274"/>
      <w:bookmarkStart w:id="10" w:name="_Toc120614213"/>
      <w:bookmarkStart w:id="11" w:name="_Toc513029202"/>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20614214"/>
      <w:bookmarkStart w:id="14" w:name="_Toc16938519"/>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6938558"/>
      <w:bookmarkStart w:id="17" w:name="_Toc20823314"/>
      <w:bookmarkStart w:id="18" w:name="_Toc513029242"/>
      <w:bookmarkStart w:id="19" w:name="_Toc120614221"/>
      <w:bookmarkStart w:id="20" w:name="_Toc479757207"/>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513029243"/>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5"/>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三年质保期</w:t>
      </w:r>
      <w:r>
        <w:rPr>
          <w:rFonts w:hint="eastAsia" w:ascii="宋体" w:hAnsi="宋体" w:cs="宋体"/>
          <w:sz w:val="24"/>
          <w:szCs w:val="24"/>
        </w:rPr>
        <w:t>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62564139"/>
      <w:bookmarkStart w:id="30" w:name="_Toc479757211"/>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智慧银行互动实训平台采购项目</w:t>
      </w:r>
      <w:r>
        <w:rPr>
          <w:rFonts w:hint="eastAsia" w:ascii="宋体" w:hAnsi="宋体" w:cs="宋体"/>
          <w:bCs/>
          <w:sz w:val="44"/>
          <w:lang w:eastAsia="zh-CN"/>
        </w:rPr>
        <w:t>技术要求</w:t>
      </w:r>
    </w:p>
    <w:p>
      <w:pPr>
        <w:spacing w:line="360" w:lineRule="auto"/>
        <w:rPr>
          <w:rFonts w:hint="eastAsia"/>
          <w:sz w:val="24"/>
        </w:rPr>
      </w:pPr>
      <w:bookmarkStart w:id="31" w:name="_Toc194757239"/>
      <w:bookmarkStart w:id="32" w:name="_Toc194758350"/>
      <w:bookmarkStart w:id="33" w:name="_Toc403722970"/>
    </w:p>
    <w:bookmarkEnd w:id="31"/>
    <w:bookmarkEnd w:id="32"/>
    <w:bookmarkEnd w:id="33"/>
    <w:p>
      <w:pPr>
        <w:spacing w:before="156" w:beforeLines="50" w:line="360" w:lineRule="auto"/>
        <w:ind w:firstLine="482" w:firstLineChars="200"/>
        <w:rPr>
          <w:rFonts w:ascii="Times New Roman" w:hAnsi="Times New Roman"/>
          <w:b/>
          <w:sz w:val="24"/>
        </w:rPr>
      </w:pPr>
      <w:r>
        <w:rPr>
          <w:rFonts w:hint="eastAsia" w:ascii="Times New Roman"/>
          <w:b/>
          <w:sz w:val="24"/>
        </w:rPr>
        <w:t>一、</w:t>
      </w:r>
      <w:r>
        <w:rPr>
          <w:rFonts w:ascii="Times New Roman"/>
          <w:b/>
          <w:sz w:val="24"/>
        </w:rPr>
        <w:t>项目简介及</w:t>
      </w:r>
      <w:r>
        <w:rPr>
          <w:rFonts w:hint="eastAsia" w:ascii="Times New Roman"/>
          <w:b/>
          <w:sz w:val="24"/>
        </w:rPr>
        <w:t>清单</w:t>
      </w:r>
    </w:p>
    <w:p>
      <w:pPr>
        <w:tabs>
          <w:tab w:val="left" w:pos="360"/>
        </w:tabs>
        <w:spacing w:line="360" w:lineRule="auto"/>
        <w:ind w:firstLine="480" w:firstLineChars="200"/>
        <w:rPr>
          <w:bCs/>
          <w:sz w:val="24"/>
        </w:rPr>
      </w:pPr>
      <w:r>
        <w:rPr>
          <w:rFonts w:hint="eastAsia"/>
          <w:bCs/>
          <w:sz w:val="24"/>
        </w:rPr>
        <w:t>目前金融工程专业实验室已无法满足基础教学需求。在时代革新技术的前沿下已无法满足产教融合人才培养的需要。以下学期将要开设的《金融银行模拟》、《金融实训》为例，该实验课程是学生在大学四年时间内，最具综合性的实验项目。长达2周的教学实践时间，是为大四学生准备的检验其四年综合能力以及教学成果的重要实验项目，为此购置该实训平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31"/>
        <w:gridCol w:w="1080"/>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tabs>
                <w:tab w:val="left" w:pos="360"/>
              </w:tabs>
              <w:jc w:val="center"/>
              <w:rPr>
                <w:b/>
                <w:bCs/>
                <w:sz w:val="24"/>
              </w:rPr>
            </w:pPr>
            <w:r>
              <w:rPr>
                <w:rFonts w:hAnsi="宋体"/>
                <w:b/>
                <w:bCs/>
                <w:sz w:val="24"/>
              </w:rPr>
              <w:t>序号</w:t>
            </w:r>
          </w:p>
        </w:tc>
        <w:tc>
          <w:tcPr>
            <w:tcW w:w="2631" w:type="dxa"/>
            <w:noWrap w:val="0"/>
            <w:vAlign w:val="center"/>
          </w:tcPr>
          <w:p>
            <w:pPr>
              <w:tabs>
                <w:tab w:val="left" w:pos="360"/>
              </w:tabs>
              <w:jc w:val="center"/>
              <w:rPr>
                <w:b/>
                <w:bCs/>
                <w:sz w:val="24"/>
              </w:rPr>
            </w:pPr>
            <w:r>
              <w:rPr>
                <w:rFonts w:hint="eastAsia" w:hAnsi="宋体"/>
                <w:b/>
                <w:bCs/>
                <w:sz w:val="24"/>
              </w:rPr>
              <w:t>设备名称</w:t>
            </w:r>
          </w:p>
        </w:tc>
        <w:tc>
          <w:tcPr>
            <w:tcW w:w="1080"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3491" w:type="dxa"/>
            <w:noWrap w:val="0"/>
            <w:vAlign w:val="center"/>
          </w:tcPr>
          <w:p>
            <w:pPr>
              <w:tabs>
                <w:tab w:val="left" w:pos="360"/>
              </w:tabs>
              <w:jc w:val="center"/>
              <w:rPr>
                <w:b/>
                <w:bCs/>
                <w:sz w:val="24"/>
              </w:rPr>
            </w:pPr>
            <w:r>
              <w:rPr>
                <w:rFonts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top"/>
          </w:tcPr>
          <w:p>
            <w:pPr>
              <w:tabs>
                <w:tab w:val="left" w:pos="360"/>
              </w:tabs>
              <w:spacing w:line="360" w:lineRule="auto"/>
              <w:jc w:val="center"/>
              <w:rPr>
                <w:b/>
                <w:bCs/>
              </w:rPr>
            </w:pPr>
            <w:r>
              <w:rPr>
                <w:b/>
                <w:bCs/>
              </w:rPr>
              <w:t>1</w:t>
            </w:r>
          </w:p>
        </w:tc>
        <w:tc>
          <w:tcPr>
            <w:tcW w:w="2631" w:type="dxa"/>
            <w:noWrap w:val="0"/>
            <w:vAlign w:val="top"/>
          </w:tcPr>
          <w:p>
            <w:pPr>
              <w:tabs>
                <w:tab w:val="left" w:pos="360"/>
              </w:tabs>
              <w:spacing w:line="360" w:lineRule="auto"/>
              <w:jc w:val="center"/>
              <w:rPr>
                <w:rFonts w:hint="eastAsia" w:hAnsi="宋体"/>
                <w:b/>
                <w:bCs/>
              </w:rPr>
            </w:pPr>
            <w:r>
              <w:rPr>
                <w:rFonts w:hint="eastAsia"/>
                <w:bCs/>
                <w:sz w:val="24"/>
              </w:rPr>
              <w:t>智慧银行互动实训平台</w:t>
            </w:r>
          </w:p>
        </w:tc>
        <w:tc>
          <w:tcPr>
            <w:tcW w:w="1080" w:type="dxa"/>
            <w:noWrap w:val="0"/>
            <w:vAlign w:val="top"/>
          </w:tcPr>
          <w:p>
            <w:pPr>
              <w:tabs>
                <w:tab w:val="left" w:pos="360"/>
              </w:tabs>
              <w:spacing w:line="360" w:lineRule="auto"/>
              <w:jc w:val="center"/>
              <w:rPr>
                <w:rFonts w:hint="eastAsia"/>
                <w:b/>
                <w:bCs/>
              </w:rPr>
            </w:pPr>
            <w:r>
              <w:rPr>
                <w:rFonts w:hint="eastAsia"/>
                <w:b/>
                <w:bCs/>
              </w:rPr>
              <w:t>1</w:t>
            </w:r>
          </w:p>
        </w:tc>
        <w:tc>
          <w:tcPr>
            <w:tcW w:w="3491" w:type="dxa"/>
            <w:noWrap w:val="0"/>
            <w:vAlign w:val="top"/>
          </w:tcPr>
          <w:p>
            <w:pPr>
              <w:tabs>
                <w:tab w:val="left" w:pos="360"/>
              </w:tabs>
              <w:spacing w:line="360" w:lineRule="auto"/>
              <w:jc w:val="center"/>
              <w:rPr>
                <w:rFonts w:hint="default" w:ascii="宋体" w:hAnsi="宋体" w:eastAsia="宋体" w:cs="宋体"/>
                <w:b/>
                <w:bCs/>
                <w:lang w:val="en-US" w:eastAsia="zh-CN"/>
              </w:rPr>
            </w:pPr>
          </w:p>
        </w:tc>
      </w:tr>
    </w:tbl>
    <w:p>
      <w:pPr>
        <w:pStyle w:val="14"/>
        <w:spacing w:before="156" w:beforeLines="50" w:after="0" w:line="360" w:lineRule="auto"/>
        <w:ind w:left="0" w:leftChars="0" w:firstLine="482" w:firstLineChars="200"/>
        <w:rPr>
          <w:rFonts w:ascii="Times New Roman" w:hAnsi="Times New Roman"/>
          <w:b/>
          <w:sz w:val="24"/>
        </w:rPr>
      </w:pPr>
      <w:r>
        <w:rPr>
          <w:rFonts w:hint="eastAsia" w:ascii="Times New Roman"/>
          <w:b/>
          <w:sz w:val="24"/>
        </w:rPr>
        <w:t>二、</w:t>
      </w:r>
      <w:r>
        <w:rPr>
          <w:rFonts w:ascii="Times New Roman"/>
          <w:b/>
          <w:sz w:val="24"/>
        </w:rPr>
        <w:t>技术要求</w:t>
      </w:r>
    </w:p>
    <w:p>
      <w:pPr>
        <w:tabs>
          <w:tab w:val="left" w:pos="360"/>
        </w:tabs>
        <w:spacing w:line="360" w:lineRule="auto"/>
        <w:ind w:firstLine="480" w:firstLineChars="200"/>
        <w:rPr>
          <w:rFonts w:hint="eastAsia"/>
          <w:bCs/>
          <w:sz w:val="24"/>
        </w:rPr>
      </w:pPr>
      <w:r>
        <w:rPr>
          <w:rFonts w:hint="eastAsia"/>
          <w:bCs/>
          <w:sz w:val="24"/>
        </w:rPr>
        <w:t>★1、软件需包含三种操作模式：训练模式、考试模式、自由模式，教师可分别设置难易度。</w:t>
      </w:r>
    </w:p>
    <w:p>
      <w:pPr>
        <w:tabs>
          <w:tab w:val="left" w:pos="360"/>
        </w:tabs>
        <w:spacing w:line="360" w:lineRule="auto"/>
        <w:ind w:firstLine="480" w:firstLineChars="200"/>
        <w:rPr>
          <w:rFonts w:hint="eastAsia"/>
          <w:bCs/>
          <w:sz w:val="24"/>
        </w:rPr>
      </w:pPr>
      <w:r>
        <w:rPr>
          <w:rFonts w:hint="eastAsia"/>
          <w:bCs/>
          <w:sz w:val="24"/>
        </w:rPr>
        <w:t>★2、训练模式需包含详细的流程引导和帮助功能，以任务训练为导向，案例可无限随机生成，且内置真假钞识别。</w:t>
      </w:r>
    </w:p>
    <w:p>
      <w:pPr>
        <w:tabs>
          <w:tab w:val="left" w:pos="360"/>
        </w:tabs>
        <w:spacing w:line="360" w:lineRule="auto"/>
        <w:ind w:firstLine="480" w:firstLineChars="200"/>
        <w:rPr>
          <w:rFonts w:hint="eastAsia"/>
          <w:bCs/>
          <w:sz w:val="24"/>
        </w:rPr>
      </w:pPr>
      <w:r>
        <w:rPr>
          <w:rFonts w:hint="eastAsia"/>
          <w:bCs/>
          <w:sz w:val="24"/>
        </w:rPr>
        <w:t>★3、考试模式不带有流程引导，教师可设置好考试时间和考试模板（每个学生考试案例需随机无限生成），开启考试模式后，学生自行进行规范的业务操作考试。</w:t>
      </w:r>
    </w:p>
    <w:p>
      <w:pPr>
        <w:tabs>
          <w:tab w:val="left" w:pos="360"/>
        </w:tabs>
        <w:spacing w:line="360" w:lineRule="auto"/>
        <w:ind w:firstLine="720" w:firstLineChars="300"/>
        <w:rPr>
          <w:rFonts w:hint="eastAsia"/>
          <w:bCs/>
          <w:sz w:val="24"/>
        </w:rPr>
      </w:pPr>
      <w:r>
        <w:rPr>
          <w:rFonts w:hint="eastAsia"/>
          <w:bCs/>
          <w:sz w:val="24"/>
        </w:rPr>
        <w:t>4、自由模式同样无流程引导和案例操作，但需兼容银行外围设备（存折、磁卡、票据、打印机、刷卡机等）。</w:t>
      </w:r>
    </w:p>
    <w:p>
      <w:pPr>
        <w:tabs>
          <w:tab w:val="left" w:pos="360"/>
        </w:tabs>
        <w:spacing w:line="360" w:lineRule="auto"/>
        <w:ind w:firstLine="480" w:firstLineChars="200"/>
        <w:rPr>
          <w:rFonts w:hint="eastAsia"/>
          <w:bCs/>
          <w:sz w:val="24"/>
        </w:rPr>
      </w:pPr>
      <w:r>
        <w:rPr>
          <w:rFonts w:hint="eastAsia"/>
          <w:bCs/>
          <w:sz w:val="24"/>
        </w:rPr>
        <w:t>★5、软件需能提供一比一全套银行高仿真单据和凭证，单据数量不少于50种，并需展示业务流程和细节。</w:t>
      </w:r>
    </w:p>
    <w:p>
      <w:pPr>
        <w:tabs>
          <w:tab w:val="left" w:pos="360"/>
        </w:tabs>
        <w:spacing w:line="360" w:lineRule="auto"/>
        <w:ind w:firstLine="720" w:firstLineChars="300"/>
        <w:rPr>
          <w:rFonts w:hint="eastAsia"/>
          <w:bCs/>
          <w:sz w:val="24"/>
        </w:rPr>
      </w:pPr>
      <w:r>
        <w:rPr>
          <w:rFonts w:hint="eastAsia"/>
          <w:bCs/>
          <w:sz w:val="24"/>
        </w:rPr>
        <w:t>6、软件需包含现有银行所有柜面业务，其中个人业务不少于26种，对公业务不少于32种。</w:t>
      </w:r>
    </w:p>
    <w:p>
      <w:pPr>
        <w:tabs>
          <w:tab w:val="left" w:pos="360"/>
        </w:tabs>
        <w:spacing w:line="360" w:lineRule="auto"/>
        <w:ind w:firstLine="480" w:firstLineChars="200"/>
        <w:rPr>
          <w:rFonts w:hint="eastAsia"/>
          <w:bCs/>
          <w:sz w:val="24"/>
        </w:rPr>
      </w:pPr>
      <w:r>
        <w:rPr>
          <w:rFonts w:hint="eastAsia"/>
          <w:bCs/>
          <w:sz w:val="24"/>
        </w:rPr>
        <w:t>★7、个人业务和对公业务案例需能随机生成，总数无限量，且可设定生成模板。</w:t>
      </w:r>
    </w:p>
    <w:p>
      <w:pPr>
        <w:tabs>
          <w:tab w:val="left" w:pos="360"/>
        </w:tabs>
        <w:spacing w:line="360" w:lineRule="auto"/>
        <w:ind w:firstLine="720" w:firstLineChars="300"/>
        <w:rPr>
          <w:rFonts w:hint="eastAsia"/>
          <w:bCs/>
          <w:sz w:val="24"/>
        </w:rPr>
      </w:pPr>
      <w:r>
        <w:rPr>
          <w:rFonts w:hint="eastAsia"/>
          <w:bCs/>
          <w:sz w:val="24"/>
        </w:rPr>
        <w:t>8、为了增强软件的趣味性，系统需能提供积分等级制，根据学生完成的案例数量，可提升学生的柜员等级。</w:t>
      </w:r>
    </w:p>
    <w:p>
      <w:pPr>
        <w:tabs>
          <w:tab w:val="left" w:pos="360"/>
        </w:tabs>
        <w:spacing w:line="360" w:lineRule="auto"/>
        <w:ind w:firstLine="480" w:firstLineChars="200"/>
        <w:rPr>
          <w:rFonts w:hint="eastAsia"/>
          <w:bCs/>
          <w:sz w:val="24"/>
        </w:rPr>
      </w:pPr>
      <w:r>
        <w:rPr>
          <w:rFonts w:hint="eastAsia"/>
          <w:bCs/>
          <w:sz w:val="24"/>
        </w:rPr>
        <w:t>★9、理论和实操互相验证。系统需能在完成一个业务操作之后，随机从题库中选择一题供学生作答，题目内容需来源于前面步骤中知识点，认真完成的同学可获得加分。</w:t>
      </w:r>
    </w:p>
    <w:p>
      <w:pPr>
        <w:tabs>
          <w:tab w:val="left" w:pos="360"/>
        </w:tabs>
        <w:spacing w:line="360" w:lineRule="auto"/>
        <w:ind w:firstLine="720" w:firstLineChars="300"/>
        <w:rPr>
          <w:rFonts w:hint="eastAsia"/>
          <w:bCs/>
          <w:sz w:val="24"/>
        </w:rPr>
      </w:pPr>
      <w:r>
        <w:rPr>
          <w:rFonts w:hint="eastAsia"/>
          <w:bCs/>
          <w:sz w:val="24"/>
        </w:rPr>
        <w:t>10、系统需能提供丰富的资源中心，至少包含业务介绍、交易代码、流程汇总、单据汇总、法律法规、教学资源等模块。</w:t>
      </w:r>
    </w:p>
    <w:p>
      <w:pPr>
        <w:tabs>
          <w:tab w:val="left" w:pos="360"/>
        </w:tabs>
        <w:spacing w:line="360" w:lineRule="auto"/>
        <w:ind w:firstLine="480" w:firstLineChars="200"/>
        <w:rPr>
          <w:rFonts w:hint="eastAsia"/>
          <w:bCs/>
          <w:sz w:val="24"/>
        </w:rPr>
      </w:pPr>
      <w:r>
        <w:rPr>
          <w:rFonts w:hint="eastAsia"/>
          <w:bCs/>
          <w:sz w:val="24"/>
        </w:rPr>
        <w:t>★11、考试自定义功能。系统需能灵活构建实训考试，教师从实训考试题库中抽取相应题目组成考试任务，学生按教师布置的考试作答。</w:t>
      </w:r>
    </w:p>
    <w:p>
      <w:pPr>
        <w:tabs>
          <w:tab w:val="left" w:pos="360"/>
        </w:tabs>
        <w:spacing w:line="360" w:lineRule="auto"/>
        <w:ind w:firstLine="480" w:firstLineChars="200"/>
        <w:rPr>
          <w:rFonts w:hint="eastAsia"/>
          <w:bCs/>
          <w:sz w:val="24"/>
        </w:rPr>
      </w:pPr>
      <w:r>
        <w:rPr>
          <w:rFonts w:hint="eastAsia"/>
          <w:bCs/>
          <w:sz w:val="24"/>
        </w:rPr>
        <w:t>★12、多种评分方式自动评分。系统需分别针对训练部分、考试部分进行成绩统计跟导出。系统还需支持综合成绩统计方式，涵盖任务、训练、答题、考试，教师只需对这四部分设置相应分值占比，系统自动进行统计分析，得出学生综合成绩；</w:t>
      </w:r>
    </w:p>
    <w:p>
      <w:pPr>
        <w:tabs>
          <w:tab w:val="left" w:pos="360"/>
        </w:tabs>
        <w:spacing w:line="360" w:lineRule="auto"/>
        <w:ind w:firstLine="480" w:firstLineChars="200"/>
        <w:rPr>
          <w:rFonts w:hint="eastAsia"/>
          <w:bCs/>
          <w:sz w:val="24"/>
        </w:rPr>
      </w:pPr>
      <w:r>
        <w:rPr>
          <w:rFonts w:hint="eastAsia"/>
          <w:bCs/>
          <w:sz w:val="24"/>
        </w:rPr>
        <w:t>★13、教师端和学生端均能自动生成和下载实训报告，实训报告的内容必需包含学生操作的所有实训案例和考试案例的操作步骤、完成时间、错误纠正和得分明细。</w:t>
      </w:r>
    </w:p>
    <w:p>
      <w:pPr>
        <w:tabs>
          <w:tab w:val="left" w:pos="360"/>
        </w:tabs>
        <w:spacing w:line="360" w:lineRule="auto"/>
        <w:ind w:firstLine="480" w:firstLineChars="200"/>
        <w:rPr>
          <w:rFonts w:hint="eastAsia"/>
          <w:bCs/>
          <w:sz w:val="24"/>
        </w:rPr>
      </w:pPr>
      <w:r>
        <w:rPr>
          <w:rFonts w:hint="eastAsia"/>
          <w:bCs/>
          <w:sz w:val="24"/>
        </w:rPr>
        <w:t>★14、个人业务需包含普通活期开户、普通活期存款、普通活期取款、普通活期销户、整存整取开户、部分提前支取、整存整取销户、零存整取开户、零存整取存款、零存整取销户、通知存款开户、部分支取、通知存款销户、债券发售、兑付债券、现钞兑换、信用卡开卡、信用卡还款、信用卡取现、信用卡销户、理财产品购买、理财产品赎回、代理业务、开立个人存款证明、挂失、解挂、冻结、解冻等。</w:t>
      </w:r>
    </w:p>
    <w:p>
      <w:pPr>
        <w:tabs>
          <w:tab w:val="left" w:pos="360"/>
        </w:tabs>
        <w:spacing w:line="360" w:lineRule="auto"/>
        <w:ind w:firstLine="480" w:firstLineChars="200"/>
        <w:rPr>
          <w:rFonts w:hint="eastAsia"/>
          <w:bCs/>
          <w:sz w:val="24"/>
        </w:rPr>
      </w:pPr>
      <w:r>
        <w:rPr>
          <w:rFonts w:hint="eastAsia"/>
          <w:bCs/>
          <w:sz w:val="24"/>
        </w:rPr>
        <w:t>★15、对公业务需包含开立结算账户、结算账户变更、结算账户销户、现金支票、转账支票、结算委托书、商业汇票、现金存款、现金取款、单位定期存款、定期存款部提、定期存款销户、单位通知存款、通知存款支取、通知存款销户、提出借方录入、提出贷方录入、签发本票、兑付本票、退回本票、签发汇票、兑付汇票、退回汇票、汇款录入、汇总记账、委托收款、到期付款、理财产品购买、理财产品赎回等。</w:t>
      </w:r>
    </w:p>
    <w:p>
      <w:pPr>
        <w:tabs>
          <w:tab w:val="left" w:pos="360"/>
        </w:tabs>
        <w:spacing w:line="360" w:lineRule="auto"/>
        <w:ind w:firstLine="480" w:firstLineChars="200"/>
        <w:rPr>
          <w:rFonts w:hint="eastAsia"/>
          <w:bCs/>
          <w:sz w:val="24"/>
          <w:lang w:val="en-US" w:eastAsia="zh-CN"/>
        </w:rPr>
      </w:pPr>
      <w:r>
        <w:rPr>
          <w:rFonts w:hint="eastAsia"/>
          <w:bCs/>
          <w:sz w:val="24"/>
          <w:lang w:val="en-US" w:eastAsia="zh-CN"/>
        </w:rPr>
        <w:t>16、可容纳200及以上学生同时进行实训，使用过程中如果某台电脑出现故障，不会影响其他电脑正常使用</w:t>
      </w:r>
      <w:bookmarkStart w:id="58" w:name="_GoBack"/>
      <w:bookmarkEnd w:id="58"/>
      <w:r>
        <w:rPr>
          <w:rFonts w:hint="eastAsia"/>
          <w:bCs/>
          <w:sz w:val="24"/>
          <w:lang w:val="en-US" w:eastAsia="zh-CN"/>
        </w:rPr>
        <w:t>。</w:t>
      </w:r>
    </w:p>
    <w:p>
      <w:pPr>
        <w:pStyle w:val="2"/>
        <w:ind w:firstLine="482" w:firstLineChars="200"/>
      </w:pPr>
      <w:r>
        <w:rPr>
          <w:rFonts w:hint="eastAsia"/>
        </w:rPr>
        <w:t>注:以上打星号的条款要求现场演示</w:t>
      </w:r>
      <w:r>
        <w:rPr>
          <w:rFonts w:hint="eastAsia"/>
          <w:lang w:eastAsia="zh-CN"/>
        </w:rPr>
        <w:t>（</w:t>
      </w:r>
      <w:r>
        <w:rPr>
          <w:rFonts w:hint="eastAsia"/>
          <w:lang w:val="en-US" w:eastAsia="zh-CN"/>
        </w:rPr>
        <w:t>由评委现场随机抽选3个功能进行演示</w:t>
      </w:r>
      <w:r>
        <w:rPr>
          <w:rFonts w:hint="eastAsia"/>
          <w:lang w:eastAsia="zh-CN"/>
        </w:rPr>
        <w:t>）</w:t>
      </w:r>
      <w:r>
        <w:rPr>
          <w:rFonts w:hint="eastAsia"/>
        </w:rPr>
        <w:t>，</w:t>
      </w:r>
      <w:r>
        <w:rPr>
          <w:rFonts w:hint="eastAsia"/>
          <w:lang w:val="en-US" w:eastAsia="zh-CN"/>
        </w:rPr>
        <w:t>所有加“</w:t>
      </w:r>
      <w:r>
        <w:rPr>
          <w:rFonts w:hint="eastAsia"/>
          <w:bCs/>
          <w:sz w:val="24"/>
        </w:rPr>
        <w:t>★</w:t>
      </w:r>
      <w:r>
        <w:rPr>
          <w:rFonts w:hint="eastAsia"/>
          <w:lang w:val="en-US" w:eastAsia="zh-CN"/>
        </w:rPr>
        <w:t>”功能</w:t>
      </w:r>
      <w:r>
        <w:rPr>
          <w:rFonts w:hint="eastAsia"/>
        </w:rPr>
        <w:t>出示截图或者其他证明。</w:t>
      </w:r>
    </w:p>
    <w:p>
      <w:pPr>
        <w:spacing w:line="360" w:lineRule="auto"/>
        <w:ind w:firstLine="482" w:firstLineChars="200"/>
        <w:rPr>
          <w:rFonts w:hint="eastAsia" w:ascii="Times New Roman" w:hAnsi="宋体"/>
          <w:b/>
          <w:sz w:val="24"/>
        </w:rPr>
      </w:pPr>
      <w:r>
        <w:rPr>
          <w:rFonts w:hint="eastAsia" w:hAnsi="宋体"/>
          <w:b/>
          <w:sz w:val="24"/>
          <w:lang w:eastAsia="zh-CN"/>
        </w:rPr>
        <w:t>三</w:t>
      </w:r>
      <w:r>
        <w:rPr>
          <w:rFonts w:hint="eastAsia" w:ascii="Times New Roman" w:hAnsi="宋体"/>
          <w:b/>
          <w:sz w:val="24"/>
        </w:rPr>
        <w:t>、</w:t>
      </w:r>
      <w:r>
        <w:rPr>
          <w:rFonts w:ascii="Times New Roman" w:hAnsi="宋体"/>
          <w:b/>
          <w:sz w:val="24"/>
        </w:rPr>
        <w:t>其他</w:t>
      </w:r>
    </w:p>
    <w:p>
      <w:pPr>
        <w:pStyle w:val="2"/>
        <w:rPr>
          <w:b w:val="0"/>
          <w:bCs/>
          <w:color w:val="000000"/>
        </w:rPr>
      </w:pPr>
      <w:r>
        <w:rPr>
          <w:rFonts w:hint="eastAsia"/>
        </w:rPr>
        <w:t xml:space="preserve">    </w:t>
      </w:r>
      <w:r>
        <w:rPr>
          <w:b w:val="0"/>
          <w:bCs/>
          <w:color w:val="000000"/>
        </w:rPr>
        <w:t>软件配置要求</w:t>
      </w:r>
      <w:r>
        <w:rPr>
          <w:rFonts w:hint="eastAsia"/>
          <w:b w:val="0"/>
          <w:bCs/>
          <w:color w:val="000000"/>
        </w:rPr>
        <w:t>：</w:t>
      </w:r>
    </w:p>
    <w:tbl>
      <w:tblPr>
        <w:tblStyle w:val="15"/>
        <w:tblW w:w="87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1"/>
        <w:gridCol w:w="3335"/>
        <w:gridCol w:w="2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551" w:type="dxa"/>
            <w:noWrap w:val="0"/>
            <w:vAlign w:val="center"/>
          </w:tcPr>
          <w:p>
            <w:pPr>
              <w:snapToGrid w:val="0"/>
              <w:spacing w:line="0" w:lineRule="atLeast"/>
              <w:jc w:val="center"/>
              <w:rPr>
                <w:b/>
                <w:bCs/>
                <w:szCs w:val="21"/>
              </w:rPr>
            </w:pPr>
            <w:r>
              <w:rPr>
                <w:b/>
                <w:bCs/>
                <w:szCs w:val="21"/>
              </w:rPr>
              <w:t>软件分类</w:t>
            </w:r>
          </w:p>
        </w:tc>
        <w:tc>
          <w:tcPr>
            <w:tcW w:w="3335" w:type="dxa"/>
            <w:noWrap w:val="0"/>
            <w:vAlign w:val="center"/>
          </w:tcPr>
          <w:p>
            <w:pPr>
              <w:snapToGrid w:val="0"/>
              <w:spacing w:line="0" w:lineRule="atLeast"/>
              <w:jc w:val="center"/>
              <w:rPr>
                <w:b/>
                <w:bCs/>
                <w:szCs w:val="21"/>
              </w:rPr>
            </w:pPr>
            <w:r>
              <w:rPr>
                <w:b/>
                <w:bCs/>
                <w:szCs w:val="21"/>
              </w:rPr>
              <w:t>服务器</w:t>
            </w:r>
          </w:p>
        </w:tc>
        <w:tc>
          <w:tcPr>
            <w:tcW w:w="2879" w:type="dxa"/>
            <w:noWrap w:val="0"/>
            <w:vAlign w:val="center"/>
          </w:tcPr>
          <w:p>
            <w:pPr>
              <w:snapToGrid w:val="0"/>
              <w:spacing w:line="0" w:lineRule="atLeast"/>
              <w:jc w:val="center"/>
              <w:rPr>
                <w:b/>
                <w:bCs/>
                <w:szCs w:val="21"/>
              </w:rPr>
            </w:pPr>
            <w:r>
              <w:rPr>
                <w:b/>
                <w:bCs/>
                <w:szCs w:val="21"/>
              </w:rPr>
              <w:t>客户机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2551" w:type="dxa"/>
            <w:noWrap w:val="0"/>
            <w:vAlign w:val="center"/>
          </w:tcPr>
          <w:p>
            <w:pPr>
              <w:snapToGrid w:val="0"/>
              <w:spacing w:line="0" w:lineRule="atLeast"/>
              <w:rPr>
                <w:szCs w:val="21"/>
              </w:rPr>
            </w:pPr>
            <w:r>
              <w:rPr>
                <w:szCs w:val="21"/>
              </w:rPr>
              <w:t>1、操作系统</w:t>
            </w:r>
          </w:p>
        </w:tc>
        <w:tc>
          <w:tcPr>
            <w:tcW w:w="3335" w:type="dxa"/>
            <w:noWrap w:val="0"/>
            <w:vAlign w:val="center"/>
          </w:tcPr>
          <w:p>
            <w:pPr>
              <w:snapToGrid w:val="0"/>
              <w:spacing w:line="0" w:lineRule="atLeast"/>
              <w:rPr>
                <w:szCs w:val="21"/>
              </w:rPr>
            </w:pPr>
            <w:r>
              <w:rPr>
                <w:rFonts w:hint="eastAsia"/>
                <w:szCs w:val="21"/>
              </w:rPr>
              <w:t>Windows Server 2008/2012/2019</w:t>
            </w:r>
          </w:p>
        </w:tc>
        <w:tc>
          <w:tcPr>
            <w:tcW w:w="2879" w:type="dxa"/>
            <w:noWrap w:val="0"/>
            <w:vAlign w:val="center"/>
          </w:tcPr>
          <w:p>
            <w:pPr>
              <w:snapToGrid w:val="0"/>
              <w:spacing w:line="0" w:lineRule="atLeast"/>
              <w:rPr>
                <w:szCs w:val="21"/>
              </w:rPr>
            </w:pPr>
            <w:r>
              <w:rPr>
                <w:rFonts w:hint="eastAsia"/>
                <w:szCs w:val="21"/>
              </w:rPr>
              <w:t>Windows 7/8/10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2551" w:type="dxa"/>
            <w:noWrap w:val="0"/>
            <w:vAlign w:val="center"/>
          </w:tcPr>
          <w:p>
            <w:pPr>
              <w:snapToGrid w:val="0"/>
              <w:spacing w:line="0" w:lineRule="atLeast"/>
              <w:rPr>
                <w:rFonts w:hint="eastAsia"/>
                <w:szCs w:val="21"/>
              </w:rPr>
            </w:pPr>
            <w:r>
              <w:rPr>
                <w:szCs w:val="21"/>
              </w:rPr>
              <w:t>2、</w:t>
            </w:r>
            <w:r>
              <w:rPr>
                <w:rFonts w:hint="eastAsia"/>
                <w:szCs w:val="21"/>
              </w:rPr>
              <w:t>数据库</w:t>
            </w:r>
          </w:p>
        </w:tc>
        <w:tc>
          <w:tcPr>
            <w:tcW w:w="3335" w:type="dxa"/>
            <w:noWrap w:val="0"/>
            <w:vAlign w:val="center"/>
          </w:tcPr>
          <w:p>
            <w:pPr>
              <w:snapToGrid w:val="0"/>
              <w:spacing w:line="0" w:lineRule="atLeast"/>
              <w:rPr>
                <w:szCs w:val="21"/>
              </w:rPr>
            </w:pPr>
            <w:r>
              <w:rPr>
                <w:rFonts w:hint="eastAsia"/>
                <w:szCs w:val="21"/>
              </w:rPr>
              <w:t>SQL Server 2005/2008/2012</w:t>
            </w:r>
          </w:p>
        </w:tc>
        <w:tc>
          <w:tcPr>
            <w:tcW w:w="2879" w:type="dxa"/>
            <w:noWrap w:val="0"/>
            <w:vAlign w:val="center"/>
          </w:tcPr>
          <w:p>
            <w:pPr>
              <w:snapToGrid w:val="0"/>
              <w:spacing w:line="0" w:lineRule="atLeast"/>
              <w:rPr>
                <w:szCs w:val="21"/>
              </w:rPr>
            </w:pPr>
            <w:r>
              <w:rPr>
                <w:rFonts w:hint="eastAsia"/>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2551" w:type="dxa"/>
            <w:noWrap w:val="0"/>
            <w:vAlign w:val="center"/>
          </w:tcPr>
          <w:p>
            <w:pPr>
              <w:snapToGrid w:val="0"/>
              <w:spacing w:line="0" w:lineRule="atLeast"/>
              <w:rPr>
                <w:rFonts w:hint="eastAsia"/>
                <w:szCs w:val="21"/>
                <w:lang w:val="fr-FR"/>
              </w:rPr>
            </w:pPr>
            <w:r>
              <w:rPr>
                <w:szCs w:val="21"/>
                <w:lang w:val="fr-FR"/>
              </w:rPr>
              <w:t>3</w:t>
            </w:r>
            <w:r>
              <w:rPr>
                <w:szCs w:val="21"/>
              </w:rPr>
              <w:t>、</w:t>
            </w:r>
            <w:r>
              <w:rPr>
                <w:rFonts w:hint="eastAsia"/>
                <w:szCs w:val="21"/>
              </w:rPr>
              <w:t>环境</w:t>
            </w:r>
          </w:p>
        </w:tc>
        <w:tc>
          <w:tcPr>
            <w:tcW w:w="3335" w:type="dxa"/>
            <w:noWrap w:val="0"/>
            <w:vAlign w:val="center"/>
          </w:tcPr>
          <w:p>
            <w:pPr>
              <w:snapToGrid w:val="0"/>
              <w:spacing w:line="0" w:lineRule="atLeast"/>
              <w:rPr>
                <w:szCs w:val="21"/>
              </w:rPr>
            </w:pPr>
            <w:r>
              <w:rPr>
                <w:rFonts w:hint="eastAsia" w:ascii="宋体" w:hAnsi="宋体"/>
                <w:szCs w:val="21"/>
              </w:rPr>
              <w:t>IIS</w:t>
            </w:r>
          </w:p>
        </w:tc>
        <w:tc>
          <w:tcPr>
            <w:tcW w:w="2879" w:type="dxa"/>
            <w:noWrap w:val="0"/>
            <w:vAlign w:val="center"/>
          </w:tcPr>
          <w:p>
            <w:pPr>
              <w:snapToGrid w:val="0"/>
              <w:spacing w:line="0" w:lineRule="atLeast"/>
              <w:rPr>
                <w:rFonts w:hint="eastAsia"/>
                <w:szCs w:val="21"/>
                <w:lang w:val="fr-FR"/>
              </w:rPr>
            </w:pPr>
          </w:p>
        </w:tc>
      </w:tr>
    </w:tbl>
    <w:p>
      <w:pPr>
        <w:spacing w:line="360" w:lineRule="auto"/>
        <w:ind w:firstLine="482" w:firstLineChars="200"/>
        <w:rPr>
          <w:rFonts w:hint="eastAsia" w:ascii="Times New Roman" w:hAnsi="宋体"/>
          <w:b/>
          <w:sz w:val="24"/>
        </w:rPr>
      </w:pPr>
      <w:r>
        <w:rPr>
          <w:rFonts w:hint="eastAsia" w:ascii="Times New Roman" w:hAnsi="宋体"/>
          <w:b/>
          <w:sz w:val="24"/>
          <w:lang w:eastAsia="zh-CN"/>
        </w:rPr>
        <w:t>四</w:t>
      </w:r>
      <w:r>
        <w:rPr>
          <w:rFonts w:hint="eastAsia" w:ascii="Times New Roman" w:hAnsi="宋体"/>
          <w:b/>
          <w:sz w:val="24"/>
        </w:rPr>
        <w:t>、商务要求</w:t>
      </w:r>
    </w:p>
    <w:p>
      <w:pPr>
        <w:numPr>
          <w:ilvl w:val="1"/>
          <w:numId w:val="3"/>
        </w:numPr>
        <w:spacing w:line="360" w:lineRule="auto"/>
        <w:rPr>
          <w:rFonts w:hint="eastAsia"/>
          <w:kern w:val="0"/>
          <w:sz w:val="24"/>
        </w:rPr>
      </w:pPr>
      <w:r>
        <w:rPr>
          <w:rFonts w:hint="eastAsia"/>
          <w:kern w:val="0"/>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3"/>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于3年包含产品系统升级授权、产品保修服务、远程支持服务。</w:t>
      </w:r>
    </w:p>
    <w:p>
      <w:pPr>
        <w:numPr>
          <w:ilvl w:val="1"/>
          <w:numId w:val="3"/>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r>
        <w:rPr>
          <w:rFonts w:hint="eastAsia" w:ascii="宋体" w:hAnsi="宋体"/>
          <w:kern w:val="0"/>
          <w:sz w:val="24"/>
          <w:lang w:eastAsia="zh-CN"/>
        </w:rPr>
        <w:t>。</w:t>
      </w:r>
    </w:p>
    <w:p>
      <w:pPr>
        <w:numPr>
          <w:ilvl w:val="1"/>
          <w:numId w:val="3"/>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spacing w:line="360" w:lineRule="auto"/>
        <w:ind w:firstLine="482" w:firstLineChars="200"/>
        <w:rPr>
          <w:rFonts w:hint="eastAsia" w:ascii="Times New Roman" w:hAnsi="宋体"/>
          <w:b/>
          <w:sz w:val="24"/>
        </w:rPr>
      </w:pPr>
      <w:r>
        <w:rPr>
          <w:rFonts w:hint="eastAsia" w:hAnsi="宋体"/>
          <w:b/>
          <w:sz w:val="24"/>
          <w:lang w:eastAsia="zh-CN"/>
        </w:rPr>
        <w:t>五</w:t>
      </w:r>
      <w:r>
        <w:rPr>
          <w:rFonts w:hint="eastAsia" w:ascii="Times New Roman" w:hAnsi="宋体"/>
          <w:b/>
          <w:sz w:val="24"/>
        </w:rPr>
        <w:t>、综合说明及其它要求：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9"/>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4" w:name="_Toc120614281"/>
      <w:bookmarkStart w:id="35" w:name="_Toc26554093"/>
      <w:bookmarkStart w:id="36"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7"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7"/>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按项目需求11项，每项2分</w:t>
      </w:r>
      <w:r>
        <w:rPr>
          <w:rFonts w:hint="eastAsia" w:ascii="宋体" w:hAnsi="宋体"/>
          <w:color w:val="000000"/>
          <w:sz w:val="24"/>
        </w:rPr>
        <w:t>，完全响应得</w:t>
      </w:r>
      <w:r>
        <w:rPr>
          <w:rFonts w:hint="eastAsia" w:ascii="宋体" w:hAnsi="宋体"/>
          <w:color w:val="000000"/>
          <w:sz w:val="24"/>
          <w:lang w:val="en-US" w:eastAsia="zh-CN"/>
        </w:rPr>
        <w:t>22</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16</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4</w:t>
      </w:r>
      <w:r>
        <w:rPr>
          <w:rFonts w:hint="eastAsia" w:ascii="宋体" w:hAnsi="宋体"/>
          <w:color w:val="000000"/>
          <w:sz w:val="24"/>
        </w:rPr>
        <w:t>分；免费维保</w:t>
      </w:r>
      <w:r>
        <w:rPr>
          <w:rFonts w:hint="eastAsia" w:ascii="宋体" w:hAnsi="宋体"/>
          <w:color w:val="000000"/>
          <w:sz w:val="24"/>
          <w:lang w:val="en-US" w:eastAsia="zh-CN"/>
        </w:rPr>
        <w:t>及免费升级</w:t>
      </w:r>
      <w:r>
        <w:rPr>
          <w:rFonts w:hint="eastAsia" w:ascii="宋体" w:hAnsi="宋体"/>
          <w:color w:val="000000"/>
          <w:sz w:val="24"/>
        </w:rPr>
        <w:t>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4.</w:t>
      </w:r>
      <w:r>
        <w:rPr>
          <w:rFonts w:hint="eastAsia" w:ascii="宋体" w:hAnsi="宋体"/>
          <w:b/>
          <w:sz w:val="24"/>
        </w:rPr>
        <w:t>现场演示</w:t>
      </w:r>
      <w:r>
        <w:rPr>
          <w:rFonts w:hint="eastAsia" w:ascii="宋体" w:hAnsi="宋体"/>
          <w:b/>
          <w:sz w:val="24"/>
          <w:lang w:val="en-US" w:eastAsia="zh-CN"/>
        </w:rPr>
        <w:t xml:space="preserve"> （6分）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lang w:eastAsia="zh-CN"/>
        </w:rPr>
        <w:t>评委</w:t>
      </w:r>
      <w:r>
        <w:rPr>
          <w:rFonts w:hint="eastAsia" w:ascii="宋体" w:hAnsi="宋体"/>
          <w:color w:val="000000"/>
          <w:sz w:val="24"/>
        </w:rPr>
        <w:t>根据</w:t>
      </w:r>
      <w:r>
        <w:rPr>
          <w:rFonts w:hint="eastAsia" w:ascii="宋体" w:hAnsi="宋体"/>
          <w:color w:val="000000"/>
          <w:sz w:val="24"/>
          <w:lang w:eastAsia="zh-CN"/>
        </w:rPr>
        <w:t>投标人授权代表现场演示情况</w:t>
      </w:r>
      <w:r>
        <w:rPr>
          <w:rFonts w:hint="eastAsia" w:ascii="宋体" w:hAnsi="宋体"/>
          <w:color w:val="000000"/>
          <w:sz w:val="24"/>
        </w:rPr>
        <w:t>酌情给分</w:t>
      </w:r>
      <w:r>
        <w:rPr>
          <w:rFonts w:hint="eastAsia" w:ascii="宋体" w:hAnsi="宋体"/>
          <w:color w:val="000000"/>
          <w:sz w:val="24"/>
          <w:lang w:eastAsia="zh-CN"/>
        </w:rPr>
        <w:t>，优</w:t>
      </w:r>
      <w:r>
        <w:rPr>
          <w:rFonts w:hint="eastAsia" w:ascii="宋体" w:hAnsi="宋体"/>
          <w:color w:val="000000"/>
          <w:sz w:val="24"/>
          <w:lang w:val="en-US" w:eastAsia="zh-CN"/>
        </w:rPr>
        <w:t>6</w:t>
      </w:r>
      <w:r>
        <w:rPr>
          <w:rFonts w:hint="eastAsia" w:ascii="宋体" w:hAnsi="宋体"/>
          <w:color w:val="000000"/>
          <w:sz w:val="24"/>
          <w:lang w:eastAsia="zh-CN"/>
        </w:rPr>
        <w:t>分，良好</w:t>
      </w:r>
      <w:r>
        <w:rPr>
          <w:rFonts w:hint="eastAsia" w:ascii="宋体" w:hAnsi="宋体"/>
          <w:color w:val="000000"/>
          <w:sz w:val="24"/>
          <w:lang w:val="en-US" w:eastAsia="zh-CN"/>
        </w:rPr>
        <w:t>4</w:t>
      </w:r>
      <w:r>
        <w:rPr>
          <w:rFonts w:hint="eastAsia" w:ascii="宋体" w:hAnsi="宋体"/>
          <w:color w:val="000000"/>
          <w:sz w:val="24"/>
          <w:lang w:eastAsia="zh-CN"/>
        </w:rPr>
        <w:t>分，一般</w:t>
      </w:r>
      <w:r>
        <w:rPr>
          <w:rFonts w:hint="eastAsia" w:ascii="宋体" w:hAnsi="宋体"/>
          <w:color w:val="000000"/>
          <w:sz w:val="24"/>
          <w:lang w:val="en-US" w:eastAsia="zh-CN"/>
        </w:rPr>
        <w:t>2</w:t>
      </w:r>
      <w:r>
        <w:rPr>
          <w:rFonts w:hint="eastAsia" w:ascii="宋体" w:hAnsi="宋体"/>
          <w:color w:val="000000"/>
          <w:sz w:val="24"/>
          <w:lang w:eastAsia="zh-CN"/>
        </w:rPr>
        <w:t>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ascii="宋体" w:hAnsi="宋体"/>
          <w:bCs/>
          <w:sz w:val="24"/>
          <w:szCs w:val="24"/>
          <w:lang w:eastAsia="zh-CN"/>
        </w:rPr>
        <w:t>，</w:t>
      </w:r>
      <w:r>
        <w:rPr>
          <w:rFonts w:hint="eastAsia" w:hAnsi="宋体"/>
          <w:sz w:val="24"/>
        </w:rPr>
        <w:t>每个合同得2分（提供复印件即可，原件备查），最高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bookmarkEnd w:id="29"/>
      <w:bookmarkEnd w:id="30"/>
      <w:bookmarkEnd w:id="34"/>
      <w:bookmarkEnd w:id="35"/>
      <w:bookmarkEnd w:id="36"/>
    </w:p>
    <w:p>
      <w:pPr>
        <w:jc w:val="center"/>
        <w:rPr>
          <w:rFonts w:hint="eastAsia" w:ascii="宋体" w:hAnsi="宋体" w:cs="宋体"/>
          <w:bCs/>
          <w:sz w:val="44"/>
        </w:rPr>
      </w:pPr>
    </w:p>
    <w:p>
      <w:pPr>
        <w:pStyle w:val="2"/>
        <w:rPr>
          <w:rFonts w:hint="eastAsia" w:ascii="宋体" w:hAnsi="宋体" w:cs="宋体"/>
          <w:bCs/>
          <w:sz w:val="44"/>
        </w:rPr>
      </w:pPr>
    </w:p>
    <w:p>
      <w:pPr>
        <w:rPr>
          <w:rFonts w:hint="eastAsia" w:ascii="宋体" w:hAnsi="宋体" w:cs="宋体"/>
          <w:bCs/>
          <w:sz w:val="44"/>
        </w:rPr>
      </w:pPr>
    </w:p>
    <w:p>
      <w:pPr>
        <w:pStyle w:val="2"/>
        <w:rPr>
          <w:rFonts w:hint="eastAsia" w:ascii="宋体" w:hAnsi="宋体" w:cs="宋体"/>
          <w:bCs/>
          <w:sz w:val="44"/>
        </w:rPr>
      </w:pPr>
    </w:p>
    <w:p>
      <w:pPr>
        <w:rPr>
          <w:rFonts w:hint="eastAsia"/>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8" w:name="_Hlt26671244"/>
      <w:bookmarkEnd w:id="38"/>
      <w:bookmarkStart w:id="39" w:name="_Hlt26955039"/>
      <w:bookmarkEnd w:id="39"/>
      <w:bookmarkStart w:id="40" w:name="_Toc26554094"/>
      <w:bookmarkStart w:id="41" w:name="_Toc120614282"/>
      <w:bookmarkStart w:id="42" w:name="_Toc49090576"/>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3"/>
        <w:rPr>
          <w:rFonts w:hint="eastAsia"/>
        </w:rPr>
      </w:pPr>
    </w:p>
    <w:bookmarkEnd w:id="40"/>
    <w:bookmarkEnd w:id="41"/>
    <w:bookmarkEnd w:id="42"/>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8"/>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8"/>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8"/>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8"/>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8"/>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8"/>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9"/>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1"/>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1"/>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3"/>
      <w:bookmarkStart w:id="45" w:name="_Hlt26955070"/>
      <w:bookmarkEnd w:id="45"/>
      <w:bookmarkStart w:id="46" w:name="_格式3__银行出具的资信证明"/>
      <w:bookmarkEnd w:id="46"/>
      <w:bookmarkStart w:id="47" w:name="_Hlt2667138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513029276"/>
      <w:bookmarkStart w:id="51" w:name="_Toc120614283"/>
      <w:bookmarkStart w:id="52" w:name="_Toc26554095"/>
      <w:bookmarkStart w:id="53" w:name="_Toc49090577"/>
      <w:bookmarkStart w:id="54" w:name="_Toc23828478"/>
      <w:bookmarkStart w:id="55" w:name="_Toc22356580"/>
      <w:bookmarkStart w:id="56" w:name="_Toc46090158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序号</w:t>
            </w:r>
          </w:p>
        </w:tc>
        <w:tc>
          <w:tcPr>
            <w:tcW w:w="2976" w:type="dxa"/>
            <w:noWrap w:val="0"/>
            <w:vAlign w:val="center"/>
          </w:tcPr>
          <w:p>
            <w:pPr>
              <w:pStyle w:val="22"/>
              <w:ind w:left="420"/>
              <w:jc w:val="center"/>
              <w:rPr>
                <w:rFonts w:hint="eastAsia" w:hAnsi="宋体"/>
                <w:color w:val="auto"/>
              </w:rPr>
            </w:pPr>
            <w:r>
              <w:rPr>
                <w:rFonts w:hint="eastAsia" w:hAnsi="宋体"/>
                <w:color w:val="auto"/>
              </w:rPr>
              <w:t>项目</w:t>
            </w:r>
          </w:p>
        </w:tc>
        <w:tc>
          <w:tcPr>
            <w:tcW w:w="1985" w:type="dxa"/>
            <w:noWrap w:val="0"/>
            <w:vAlign w:val="center"/>
          </w:tcPr>
          <w:p>
            <w:pPr>
              <w:pStyle w:val="22"/>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2"/>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2"/>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1</w:t>
            </w:r>
          </w:p>
        </w:tc>
        <w:tc>
          <w:tcPr>
            <w:tcW w:w="2976" w:type="dxa"/>
            <w:noWrap w:val="0"/>
            <w:vAlign w:val="center"/>
          </w:tcPr>
          <w:p>
            <w:pPr>
              <w:pStyle w:val="22"/>
              <w:ind w:left="420"/>
              <w:jc w:val="center"/>
              <w:rPr>
                <w:rFonts w:hint="eastAsia" w:hAnsi="宋体"/>
                <w:color w:val="auto"/>
              </w:rPr>
            </w:pPr>
            <w:r>
              <w:rPr>
                <w:rFonts w:hint="eastAsia" w:hAnsi="宋体"/>
                <w:color w:val="auto"/>
              </w:rPr>
              <w:t>质保期</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2</w:t>
            </w:r>
          </w:p>
        </w:tc>
        <w:tc>
          <w:tcPr>
            <w:tcW w:w="2976" w:type="dxa"/>
            <w:noWrap w:val="0"/>
            <w:vAlign w:val="center"/>
          </w:tcPr>
          <w:p>
            <w:pPr>
              <w:pStyle w:val="22"/>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3</w:t>
            </w:r>
          </w:p>
        </w:tc>
        <w:tc>
          <w:tcPr>
            <w:tcW w:w="2976" w:type="dxa"/>
            <w:noWrap w:val="0"/>
            <w:vAlign w:val="center"/>
          </w:tcPr>
          <w:p>
            <w:pPr>
              <w:pStyle w:val="22"/>
              <w:ind w:left="420"/>
              <w:jc w:val="center"/>
              <w:rPr>
                <w:rFonts w:hint="eastAsia" w:hAnsi="宋体"/>
                <w:color w:val="auto"/>
              </w:rPr>
            </w:pPr>
            <w:r>
              <w:rPr>
                <w:rFonts w:hint="eastAsia" w:hAnsi="宋体"/>
                <w:color w:val="auto"/>
              </w:rPr>
              <w:t>供货期</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4</w:t>
            </w:r>
          </w:p>
        </w:tc>
        <w:tc>
          <w:tcPr>
            <w:tcW w:w="2976" w:type="dxa"/>
            <w:noWrap w:val="0"/>
            <w:vAlign w:val="center"/>
          </w:tcPr>
          <w:p>
            <w:pPr>
              <w:pStyle w:val="22"/>
              <w:ind w:left="420"/>
              <w:jc w:val="center"/>
              <w:rPr>
                <w:rFonts w:hint="eastAsia" w:hAnsi="宋体"/>
                <w:color w:val="auto"/>
              </w:rPr>
            </w:pPr>
            <w:r>
              <w:rPr>
                <w:rFonts w:hint="eastAsia" w:hAnsi="宋体"/>
                <w:color w:val="auto"/>
              </w:rPr>
              <w:t>交货方式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5</w:t>
            </w:r>
          </w:p>
        </w:tc>
        <w:tc>
          <w:tcPr>
            <w:tcW w:w="2976" w:type="dxa"/>
            <w:noWrap w:val="0"/>
            <w:vAlign w:val="center"/>
          </w:tcPr>
          <w:p>
            <w:pPr>
              <w:pStyle w:val="22"/>
              <w:ind w:left="420"/>
              <w:jc w:val="center"/>
              <w:rPr>
                <w:rFonts w:hint="eastAsia" w:hAnsi="宋体"/>
                <w:color w:val="auto"/>
              </w:rPr>
            </w:pPr>
            <w:r>
              <w:rPr>
                <w:rFonts w:hint="eastAsia" w:hAnsi="宋体"/>
                <w:color w:val="auto"/>
              </w:rPr>
              <w:t>付款方式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6</w:t>
            </w:r>
          </w:p>
        </w:tc>
        <w:tc>
          <w:tcPr>
            <w:tcW w:w="2976" w:type="dxa"/>
            <w:noWrap w:val="0"/>
            <w:vAlign w:val="center"/>
          </w:tcPr>
          <w:p>
            <w:pPr>
              <w:pStyle w:val="22"/>
              <w:ind w:left="420"/>
              <w:jc w:val="center"/>
              <w:rPr>
                <w:rFonts w:hint="eastAsia" w:hAnsi="宋体"/>
                <w:color w:val="auto"/>
              </w:rPr>
            </w:pPr>
            <w:r>
              <w:rPr>
                <w:rFonts w:hint="eastAsia" w:hAnsi="宋体"/>
                <w:color w:val="auto"/>
              </w:rPr>
              <w:t>投标货币</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7</w:t>
            </w:r>
          </w:p>
        </w:tc>
        <w:tc>
          <w:tcPr>
            <w:tcW w:w="2976" w:type="dxa"/>
            <w:noWrap w:val="0"/>
            <w:vAlign w:val="center"/>
          </w:tcPr>
          <w:p>
            <w:pPr>
              <w:pStyle w:val="22"/>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8</w:t>
            </w:r>
          </w:p>
        </w:tc>
        <w:tc>
          <w:tcPr>
            <w:tcW w:w="2976" w:type="dxa"/>
            <w:noWrap w:val="0"/>
            <w:vAlign w:val="center"/>
          </w:tcPr>
          <w:p>
            <w:pPr>
              <w:pStyle w:val="22"/>
              <w:ind w:left="420"/>
              <w:jc w:val="center"/>
              <w:rPr>
                <w:rFonts w:hint="eastAsia" w:hAnsi="宋体"/>
                <w:color w:val="auto"/>
              </w:rPr>
            </w:pPr>
            <w:r>
              <w:rPr>
                <w:rFonts w:hint="eastAsia" w:hAnsi="宋体"/>
                <w:color w:val="auto"/>
              </w:rPr>
              <w:t>培训方式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p>
        </w:tc>
        <w:tc>
          <w:tcPr>
            <w:tcW w:w="2976" w:type="dxa"/>
            <w:noWrap w:val="0"/>
            <w:vAlign w:val="center"/>
          </w:tcPr>
          <w:p>
            <w:pPr>
              <w:pStyle w:val="22"/>
              <w:ind w:left="420"/>
              <w:jc w:val="center"/>
              <w:rPr>
                <w:rFonts w:hint="eastAsia" w:hAnsi="宋体"/>
                <w:color w:val="auto"/>
              </w:rPr>
            </w:pP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bl>
    <w:p>
      <w:pPr>
        <w:pStyle w:val="22"/>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2"/>
        <w:spacing w:line="360" w:lineRule="exact"/>
        <w:ind w:left="420"/>
        <w:rPr>
          <w:rFonts w:hint="eastAsia" w:hAnsi="宋体"/>
          <w:color w:val="auto"/>
        </w:rPr>
      </w:pPr>
      <w:r>
        <w:rPr>
          <w:rFonts w:hint="eastAsia" w:hAnsi="宋体"/>
          <w:color w:val="auto"/>
        </w:rPr>
        <w:t>注：</w:t>
      </w:r>
    </w:p>
    <w:p>
      <w:pPr>
        <w:pStyle w:val="22"/>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2"/>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2"/>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2"/>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0B18397C"/>
    <w:rsid w:val="0E164C31"/>
    <w:rsid w:val="13F9637C"/>
    <w:rsid w:val="149D4767"/>
    <w:rsid w:val="16367209"/>
    <w:rsid w:val="17683D90"/>
    <w:rsid w:val="19935D99"/>
    <w:rsid w:val="1E08754E"/>
    <w:rsid w:val="21471482"/>
    <w:rsid w:val="224E4650"/>
    <w:rsid w:val="23814017"/>
    <w:rsid w:val="248F23AC"/>
    <w:rsid w:val="25A340BE"/>
    <w:rsid w:val="28422A24"/>
    <w:rsid w:val="28E804FD"/>
    <w:rsid w:val="2974467C"/>
    <w:rsid w:val="2AA550DC"/>
    <w:rsid w:val="2B9E493B"/>
    <w:rsid w:val="2D6E1275"/>
    <w:rsid w:val="2D8C5899"/>
    <w:rsid w:val="2DD47F61"/>
    <w:rsid w:val="2E657BCE"/>
    <w:rsid w:val="2F313A02"/>
    <w:rsid w:val="2F956AFE"/>
    <w:rsid w:val="35467EF4"/>
    <w:rsid w:val="358B76AD"/>
    <w:rsid w:val="35DD2AF4"/>
    <w:rsid w:val="35E43000"/>
    <w:rsid w:val="37E45D87"/>
    <w:rsid w:val="38CF0C3A"/>
    <w:rsid w:val="3BF76BED"/>
    <w:rsid w:val="3D16713D"/>
    <w:rsid w:val="3DED6081"/>
    <w:rsid w:val="3DEF12B0"/>
    <w:rsid w:val="3E091FAA"/>
    <w:rsid w:val="3F6F6087"/>
    <w:rsid w:val="40A82832"/>
    <w:rsid w:val="414D2DF2"/>
    <w:rsid w:val="41FB31EE"/>
    <w:rsid w:val="42C8303A"/>
    <w:rsid w:val="446F0737"/>
    <w:rsid w:val="472D0B65"/>
    <w:rsid w:val="480B4988"/>
    <w:rsid w:val="4B73395D"/>
    <w:rsid w:val="4C913D80"/>
    <w:rsid w:val="4C940E7B"/>
    <w:rsid w:val="51F401C6"/>
    <w:rsid w:val="550C3B25"/>
    <w:rsid w:val="5563541B"/>
    <w:rsid w:val="58C57AF2"/>
    <w:rsid w:val="592A17A5"/>
    <w:rsid w:val="59DC4DC2"/>
    <w:rsid w:val="5BC468B9"/>
    <w:rsid w:val="5C74568C"/>
    <w:rsid w:val="5CD341FE"/>
    <w:rsid w:val="5FDA2281"/>
    <w:rsid w:val="60F20420"/>
    <w:rsid w:val="63C52ACF"/>
    <w:rsid w:val="643571D4"/>
    <w:rsid w:val="64F61075"/>
    <w:rsid w:val="650117A0"/>
    <w:rsid w:val="6608084A"/>
    <w:rsid w:val="6BB425F0"/>
    <w:rsid w:val="6C3935A3"/>
    <w:rsid w:val="6C670B11"/>
    <w:rsid w:val="6C953E71"/>
    <w:rsid w:val="6CA95F52"/>
    <w:rsid w:val="6E9834CC"/>
    <w:rsid w:val="6FF05E4C"/>
    <w:rsid w:val="738C36DB"/>
    <w:rsid w:val="75100210"/>
    <w:rsid w:val="75344604"/>
    <w:rsid w:val="75CF21D1"/>
    <w:rsid w:val="76851909"/>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eastAsia="宋体"/>
      <w:b/>
      <w:sz w:val="24"/>
      <w:szCs w:val="24"/>
    </w:rPr>
  </w:style>
  <w:style w:type="paragraph" w:styleId="5">
    <w:name w:val="Normal Indent"/>
    <w:basedOn w:val="1"/>
    <w:qFormat/>
    <w:uiPriority w:val="0"/>
    <w:pPr>
      <w:ind w:firstLine="420"/>
    </w:pPr>
  </w:style>
  <w:style w:type="paragraph" w:styleId="7">
    <w:name w:val="Body Text"/>
    <w:basedOn w:val="1"/>
    <w:qFormat/>
    <w:uiPriority w:val="0"/>
    <w:rPr>
      <w:rFonts w:ascii="宋体"/>
      <w:sz w:val="28"/>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cs="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style>
  <w:style w:type="paragraph" w:styleId="14">
    <w:name w:val="Body Text First Indent 2"/>
    <w:basedOn w:val="8"/>
    <w:qFormat/>
    <w:uiPriority w:val="0"/>
    <w:pPr>
      <w:ind w:firstLine="420"/>
    </w:pPr>
  </w:style>
  <w:style w:type="character" w:styleId="17">
    <w:name w:val="page number"/>
    <w:basedOn w:val="16"/>
    <w:qFormat/>
    <w:uiPriority w:val="0"/>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
    <w:name w:val="列出段落1"/>
    <w:basedOn w:val="1"/>
    <w:qFormat/>
    <w:uiPriority w:val="0"/>
    <w:pPr>
      <w:ind w:leftChars="200"/>
      <w:jc w:val="left"/>
    </w:pPr>
    <w:rPr>
      <w:rFonts w:ascii="Calibri" w:hAnsi="Calibri" w:eastAsia="PMingLiU" w:cs="宋体"/>
      <w:sz w:val="24"/>
      <w:szCs w:val="22"/>
      <w:lang w:eastAsia="zh-TW"/>
    </w:rPr>
  </w:style>
  <w:style w:type="paragraph" w:customStyle="1" w:styleId="20">
    <w:name w:val="pa-0"/>
    <w:basedOn w:val="1"/>
    <w:qFormat/>
    <w:uiPriority w:val="0"/>
    <w:pPr>
      <w:widowControl/>
      <w:spacing w:before="150" w:after="150"/>
      <w:jc w:val="left"/>
    </w:pPr>
    <w:rPr>
      <w:rFonts w:ascii="宋体" w:hAnsi="宋体" w:cs="宋体"/>
      <w:kern w:val="0"/>
      <w:sz w:val="24"/>
      <w:szCs w:val="24"/>
    </w:rPr>
  </w:style>
  <w:style w:type="paragraph" w:customStyle="1" w:styleId="21">
    <w:name w:val="Char"/>
    <w:basedOn w:val="1"/>
    <w:qFormat/>
    <w:uiPriority w:val="0"/>
    <w:pPr>
      <w:tabs>
        <w:tab w:val="left" w:pos="360"/>
      </w:tabs>
    </w:pPr>
    <w:rPr>
      <w:sz w:val="24"/>
      <w:szCs w:val="24"/>
    </w:rPr>
  </w:style>
  <w:style w:type="paragraph" w:customStyle="1" w:styleId="22">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列表段落"/>
    <w:basedOn w:val="1"/>
    <w:qFormat/>
    <w:uiPriority w:val="34"/>
    <w:pPr>
      <w:ind w:firstLine="420" w:firstLineChars="200"/>
    </w:pPr>
    <w:rPr>
      <w:rFonts w:ascii="Calibri" w:hAnsi="Calibri"/>
      <w:szCs w:val="22"/>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2020-11-13T01:08:03Z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