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w:t>
      </w:r>
      <w:r>
        <w:rPr>
          <w:rFonts w:ascii="宋体" w:hAnsi="宋体" w:cs="宋体"/>
          <w:sz w:val="32"/>
          <w:szCs w:val="32"/>
        </w:rPr>
        <w:t>020</w:t>
      </w:r>
      <w:r>
        <w:rPr>
          <w:rFonts w:hint="eastAsia" w:ascii="宋体" w:hAnsi="宋体" w:cs="宋体"/>
          <w:sz w:val="32"/>
          <w:szCs w:val="32"/>
        </w:rPr>
        <w:t>年录取通知书邮寄项目</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ind w:firstLine="0"/>
        <w:jc w:val="center"/>
        <w:rPr>
          <w:rFonts w:ascii="宋体" w:hAnsi="宋体" w:cs="宋体"/>
          <w:b/>
          <w:bCs/>
          <w:sz w:val="84"/>
        </w:rPr>
      </w:pPr>
    </w:p>
    <w:p>
      <w:pPr>
        <w:pStyle w:val="13"/>
        <w:ind w:firstLine="0"/>
        <w:jc w:val="center"/>
        <w:rPr>
          <w:rFonts w:ascii="宋体" w:hAnsi="宋体" w:cs="宋体"/>
          <w:b/>
          <w:bCs/>
          <w:sz w:val="84"/>
        </w:rPr>
      </w:pPr>
    </w:p>
    <w:p>
      <w:pPr>
        <w:pStyle w:val="13"/>
        <w:ind w:firstLine="0"/>
        <w:jc w:val="center"/>
        <w:rPr>
          <w:rFonts w:ascii="宋体" w:hAnsi="宋体" w:cs="宋体"/>
          <w:b/>
          <w:bCs/>
          <w:sz w:val="72"/>
          <w:szCs w:val="72"/>
        </w:rPr>
      </w:pPr>
      <w:r>
        <w:rPr>
          <w:rFonts w:ascii="宋体" w:hAnsi="宋体" w:cs="宋体"/>
          <w:b/>
          <w:bCs/>
          <w:sz w:val="72"/>
          <w:szCs w:val="72"/>
        </w:rPr>
        <w:t>单一来源谈判文件</w:t>
      </w:r>
    </w:p>
    <w:p>
      <w:pPr>
        <w:adjustRightInd w:val="0"/>
        <w:snapToGrid w:val="0"/>
        <w:spacing w:line="300" w:lineRule="auto"/>
        <w:jc w:val="center"/>
        <w:rPr>
          <w:rFonts w:ascii="宋体" w:hAnsi="宋体" w:cs="宋体"/>
          <w:b/>
          <w:sz w:val="36"/>
          <w:szCs w:val="36"/>
        </w:rPr>
      </w:pPr>
    </w:p>
    <w:p>
      <w:pPr>
        <w:adjustRightInd w:val="0"/>
        <w:snapToGrid w:val="0"/>
        <w:spacing w:line="300" w:lineRule="auto"/>
        <w:jc w:val="center"/>
        <w:rPr>
          <w:rFonts w:hint="eastAsia" w:ascii="宋体" w:hAnsi="宋体" w:cs="宋体" w:eastAsiaTheme="minorEastAsia"/>
          <w:b/>
          <w:sz w:val="36"/>
          <w:szCs w:val="36"/>
          <w:lang w:val="en-US" w:eastAsia="zh-CN"/>
        </w:rPr>
      </w:pPr>
      <w:r>
        <w:rPr>
          <w:rFonts w:hint="eastAsia" w:ascii="宋体" w:hAnsi="宋体" w:cs="宋体"/>
          <w:b/>
          <w:sz w:val="36"/>
          <w:szCs w:val="36"/>
        </w:rPr>
        <w:t>项目编号：TDHQ202000</w:t>
      </w:r>
      <w:r>
        <w:rPr>
          <w:rFonts w:hint="eastAsia" w:ascii="宋体" w:hAnsi="宋体" w:cs="宋体"/>
          <w:b/>
          <w:sz w:val="36"/>
          <w:szCs w:val="36"/>
          <w:lang w:val="en-US" w:eastAsia="zh-CN"/>
        </w:rPr>
        <w:t>7</w:t>
      </w: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rPr>
          <w:rFonts w:ascii="宋体" w:hAnsi="宋体" w:cs="宋体"/>
        </w:rPr>
      </w:pPr>
    </w:p>
    <w:p>
      <w:pPr>
        <w:pStyle w:val="1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13"/>
        <w:spacing w:before="0" w:after="0"/>
        <w:ind w:firstLine="0"/>
        <w:jc w:val="center"/>
        <w:rPr>
          <w:rFonts w:ascii="宋体" w:hAnsi="宋体" w:cs="宋体"/>
          <w:b/>
          <w:sz w:val="30"/>
          <w:szCs w:val="30"/>
        </w:rPr>
      </w:pPr>
      <w:r>
        <w:rPr>
          <w:rFonts w:hint="eastAsia" w:ascii="宋体" w:hAnsi="宋体" w:cs="宋体"/>
          <w:b/>
          <w:sz w:val="30"/>
          <w:szCs w:val="30"/>
        </w:rPr>
        <w:t>2020年</w:t>
      </w:r>
      <w:r>
        <w:rPr>
          <w:rFonts w:ascii="宋体" w:hAnsi="宋体" w:cs="宋体"/>
          <w:b/>
          <w:sz w:val="30"/>
          <w:szCs w:val="30"/>
        </w:rPr>
        <w:t>6</w:t>
      </w:r>
      <w:r>
        <w:rPr>
          <w:rFonts w:hint="eastAsia" w:ascii="宋体" w:hAnsi="宋体" w:cs="宋体"/>
          <w:b/>
          <w:sz w:val="30"/>
          <w:szCs w:val="30"/>
        </w:rPr>
        <w:t>月</w:t>
      </w:r>
    </w:p>
    <w:p>
      <w:pPr>
        <w:jc w:val="center"/>
        <w:rPr>
          <w:rFonts w:ascii="宋体" w:hAnsi="宋体" w:cs="宋体"/>
        </w:rPr>
      </w:pPr>
      <w:r>
        <w:rPr>
          <w:rFonts w:hint="eastAsia" w:ascii="宋体" w:hAnsi="宋体" w:cs="宋体"/>
        </w:rPr>
        <w:br w:type="page"/>
      </w:r>
      <w:r>
        <w:rPr>
          <w:rFonts w:hint="eastAsia" w:ascii="宋体" w:hAnsi="宋体" w:cs="宋体"/>
          <w:sz w:val="72"/>
          <w:szCs w:val="72"/>
        </w:rPr>
        <w:t>目录</w:t>
      </w:r>
    </w:p>
    <w:p>
      <w:pPr>
        <w:rPr>
          <w:rFonts w:ascii="宋体" w:hAnsi="宋体" w:eastAsia="宋体" w:cs="宋体"/>
          <w:sz w:val="36"/>
          <w:szCs w:val="36"/>
        </w:rPr>
      </w:pPr>
    </w:p>
    <w:p>
      <w:pPr>
        <w:rPr>
          <w:rFonts w:ascii="宋体" w:hAnsi="宋体" w:eastAsia="宋体" w:cs="宋体"/>
          <w:sz w:val="36"/>
          <w:szCs w:val="36"/>
        </w:rPr>
      </w:pPr>
      <w:r>
        <w:rPr>
          <w:rFonts w:hint="eastAsia" w:ascii="宋体" w:hAnsi="宋体" w:eastAsia="宋体" w:cs="宋体"/>
          <w:sz w:val="36"/>
          <w:szCs w:val="36"/>
        </w:rPr>
        <w:t>第一章</w:t>
      </w:r>
      <w:r>
        <w:rPr>
          <w:rFonts w:hint="eastAsia" w:ascii="宋体" w:hAnsi="MS Mincho" w:eastAsia="MS Mincho" w:cs="MS Mincho"/>
          <w:sz w:val="36"/>
          <w:szCs w:val="36"/>
        </w:rPr>
        <w:t>  </w:t>
      </w:r>
      <w:r>
        <w:rPr>
          <w:rFonts w:hint="eastAsia" w:ascii="宋体" w:hAnsi="宋体" w:eastAsia="宋体" w:cs="宋体"/>
          <w:sz w:val="36"/>
          <w:szCs w:val="36"/>
        </w:rPr>
        <w:t>采购邀请函</w:t>
      </w:r>
    </w:p>
    <w:p>
      <w:pPr>
        <w:rPr>
          <w:rFonts w:ascii="宋体" w:hAnsi="宋体" w:eastAsia="宋体" w:cs="MS Mincho"/>
          <w:sz w:val="36"/>
          <w:szCs w:val="36"/>
        </w:rPr>
      </w:pPr>
      <w:r>
        <w:rPr>
          <w:rFonts w:hint="eastAsia" w:ascii="宋体" w:hAnsi="宋体" w:eastAsia="宋体" w:cs="MS Mincho"/>
          <w:sz w:val="36"/>
          <w:szCs w:val="36"/>
        </w:rPr>
        <w:t>第二章</w:t>
      </w:r>
      <w:r>
        <w:rPr>
          <w:rFonts w:hint="eastAsia" w:ascii="宋体" w:hAnsi="MS Mincho" w:eastAsia="MS Mincho" w:cs="MS Mincho"/>
          <w:sz w:val="36"/>
          <w:szCs w:val="36"/>
        </w:rPr>
        <w:t>  </w:t>
      </w:r>
      <w:r>
        <w:rPr>
          <w:rFonts w:hint="eastAsia" w:ascii="宋体" w:hAnsi="宋体" w:eastAsia="宋体" w:cs="宋体"/>
          <w:sz w:val="36"/>
          <w:szCs w:val="36"/>
        </w:rPr>
        <w:t>采购项目内容</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第三章</w:t>
      </w:r>
      <w:r>
        <w:rPr>
          <w:rFonts w:hint="eastAsia" w:ascii="宋体" w:hAnsi="MS Mincho" w:eastAsia="MS Mincho" w:cs="MS Mincho"/>
          <w:sz w:val="36"/>
          <w:szCs w:val="36"/>
        </w:rPr>
        <w:t>  </w:t>
      </w:r>
      <w:r>
        <w:rPr>
          <w:rFonts w:hint="eastAsia" w:ascii="宋体" w:hAnsi="宋体" w:eastAsia="宋体" w:cs="宋体"/>
          <w:sz w:val="36"/>
          <w:szCs w:val="36"/>
        </w:rPr>
        <w:t>谈判须知</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第四章</w:t>
      </w:r>
      <w:r>
        <w:rPr>
          <w:rFonts w:hint="eastAsia" w:ascii="宋体" w:hAnsi="MS Mincho" w:eastAsia="MS Mincho" w:cs="MS Mincho"/>
          <w:sz w:val="36"/>
          <w:szCs w:val="36"/>
        </w:rPr>
        <w:t>  </w:t>
      </w:r>
      <w:r>
        <w:rPr>
          <w:rFonts w:hint="eastAsia" w:ascii="宋体" w:hAnsi="宋体" w:eastAsia="宋体" w:cs="宋体"/>
          <w:sz w:val="36"/>
          <w:szCs w:val="36"/>
        </w:rPr>
        <w:t>合同书格式</w:t>
      </w:r>
      <w:r>
        <w:rPr>
          <w:rFonts w:hint="eastAsia" w:ascii="宋体" w:hAnsi="MS Mincho" w:eastAsia="MS Mincho" w:cs="MS Mincho"/>
          <w:sz w:val="36"/>
          <w:szCs w:val="36"/>
        </w:rPr>
        <w:t> </w:t>
      </w:r>
    </w:p>
    <w:p>
      <w:pPr>
        <w:rPr>
          <w:rFonts w:ascii="宋体" w:hAnsi="宋体" w:eastAsia="宋体" w:cs="宋体"/>
          <w:sz w:val="36"/>
          <w:szCs w:val="36"/>
        </w:rPr>
      </w:pPr>
      <w:r>
        <w:rPr>
          <w:rFonts w:hint="eastAsia" w:ascii="宋体" w:hAnsi="宋体" w:eastAsia="宋体" w:cs="宋体"/>
          <w:sz w:val="36"/>
          <w:szCs w:val="36"/>
        </w:rPr>
        <w:t>第五章</w:t>
      </w:r>
      <w:r>
        <w:rPr>
          <w:rFonts w:hint="eastAsia" w:ascii="宋体" w:hAnsi="MS Mincho" w:eastAsia="MS Mincho" w:cs="MS Mincho"/>
          <w:sz w:val="36"/>
          <w:szCs w:val="36"/>
        </w:rPr>
        <w:t>  </w:t>
      </w:r>
      <w:r>
        <w:rPr>
          <w:rFonts w:hint="eastAsia" w:ascii="宋体" w:hAnsi="宋体" w:eastAsia="宋体" w:cs="宋体"/>
          <w:sz w:val="36"/>
          <w:szCs w:val="36"/>
        </w:rPr>
        <w:t>响应文件格式</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第一章</w:t>
      </w:r>
      <w:r>
        <w:rPr>
          <w:rFonts w:hint="eastAsia" w:ascii="宋体" w:hAnsi="MS Mincho" w:eastAsia="MS Mincho" w:cs="MS Mincho"/>
          <w:b/>
          <w:sz w:val="36"/>
          <w:szCs w:val="36"/>
        </w:rPr>
        <w:t>  </w:t>
      </w:r>
      <w:r>
        <w:rPr>
          <w:rFonts w:hint="eastAsia" w:ascii="宋体" w:hAnsi="宋体" w:eastAsia="宋体" w:cs="宋体"/>
          <w:b/>
          <w:sz w:val="36"/>
          <w:szCs w:val="36"/>
        </w:rPr>
        <w:t>采购邀请函</w:t>
      </w:r>
    </w:p>
    <w:p>
      <w:pPr>
        <w:rPr>
          <w:rFonts w:ascii="宋体" w:hAnsi="宋体" w:eastAsia="宋体" w:cs="宋体"/>
          <w:sz w:val="36"/>
          <w:szCs w:val="36"/>
        </w:rPr>
      </w:pPr>
    </w:p>
    <w:p>
      <w:pPr>
        <w:rPr>
          <w:rFonts w:ascii="宋体" w:hAnsi="宋体" w:eastAsia="宋体" w:cs="宋体"/>
          <w:sz w:val="28"/>
          <w:szCs w:val="28"/>
        </w:rPr>
      </w:pPr>
      <w:r>
        <w:rPr>
          <w:rFonts w:hint="eastAsia" w:ascii="宋体" w:hAnsi="宋体"/>
          <w:spacing w:val="20"/>
          <w:sz w:val="24"/>
        </w:rPr>
        <w:t>中国邮政速递物流股份有限公司扬州市分公司</w:t>
      </w:r>
      <w:r>
        <w:rPr>
          <w:rFonts w:hint="eastAsia" w:ascii="宋体" w:hAnsi="宋体" w:eastAsia="宋体" w:cs="宋体"/>
          <w:sz w:val="28"/>
          <w:szCs w:val="28"/>
        </w:rPr>
        <w:t>：</w:t>
      </w:r>
      <w:r>
        <w:rPr>
          <w:rFonts w:hint="eastAsia" w:ascii="宋体" w:hAnsi="MS Mincho" w:eastAsia="MS Mincho" w:cs="MS Mincho"/>
          <w:sz w:val="28"/>
          <w:szCs w:val="28"/>
        </w:rPr>
        <w:t> </w:t>
      </w:r>
    </w:p>
    <w:p>
      <w:pPr>
        <w:adjustRightInd w:val="0"/>
        <w:snapToGrid w:val="0"/>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南京邮电大学通达学院对2</w:t>
      </w:r>
      <w:r>
        <w:rPr>
          <w:rFonts w:ascii="宋体" w:hAnsi="宋体" w:eastAsia="宋体" w:cs="宋体"/>
          <w:sz w:val="28"/>
          <w:szCs w:val="28"/>
        </w:rPr>
        <w:t>020</w:t>
      </w:r>
      <w:r>
        <w:rPr>
          <w:rFonts w:hint="eastAsia" w:ascii="宋体" w:hAnsi="宋体" w:eastAsia="宋体" w:cs="宋体"/>
          <w:sz w:val="28"/>
          <w:szCs w:val="28"/>
        </w:rPr>
        <w:t>年录取通知书邮寄项目进行单一来源采购，拟邀请贵公司作为单一来源商定供应商。</w:t>
      </w:r>
    </w:p>
    <w:p>
      <w:pPr>
        <w:rPr>
          <w:rFonts w:ascii="宋体" w:hAnsi="宋体" w:eastAsia="宋体" w:cs="宋体"/>
          <w:sz w:val="28"/>
          <w:szCs w:val="28"/>
        </w:rPr>
      </w:pPr>
    </w:p>
    <w:p>
      <w:pPr>
        <w:rPr>
          <w:rFonts w:ascii="宋体" w:hAnsi="宋体" w:eastAsia="宋体" w:cs="MS Mincho"/>
          <w:sz w:val="28"/>
          <w:szCs w:val="28"/>
        </w:rPr>
      </w:pPr>
      <w:r>
        <w:rPr>
          <w:rFonts w:hint="eastAsia" w:ascii="宋体" w:hAnsi="宋体" w:eastAsia="宋体" w:cs="宋体"/>
          <w:sz w:val="28"/>
          <w:szCs w:val="28"/>
        </w:rPr>
        <w:t>采购项目编号：TDHQ202000</w:t>
      </w:r>
      <w:r>
        <w:rPr>
          <w:rFonts w:hint="eastAsia" w:ascii="宋体" w:hAnsi="宋体" w:eastAsia="宋体" w:cs="宋体"/>
          <w:sz w:val="28"/>
          <w:szCs w:val="28"/>
          <w:lang w:val="en-US" w:eastAsia="zh-CN"/>
        </w:rPr>
        <w:t>7</w:t>
      </w:r>
      <w:r>
        <w:rPr>
          <w:rFonts w:hint="eastAsia" w:ascii="宋体" w:hAnsi="宋体" w:eastAsia="宋体" w:cs="宋体"/>
          <w:sz w:val="28"/>
          <w:szCs w:val="28"/>
        </w:rPr>
        <w:t>   </w:t>
      </w:r>
      <w:r>
        <w:rPr>
          <w:rFonts w:hint="eastAsia" w:ascii="宋体" w:hAnsi="MS Mincho" w:eastAsia="MS Mincho" w:cs="MS Mincho"/>
          <w:sz w:val="28"/>
          <w:szCs w:val="28"/>
        </w:rPr>
        <w:t> </w:t>
      </w:r>
    </w:p>
    <w:p>
      <w:pPr>
        <w:adjustRightInd w:val="0"/>
        <w:snapToGrid w:val="0"/>
        <w:spacing w:line="300" w:lineRule="auto"/>
        <w:jc w:val="left"/>
        <w:rPr>
          <w:rFonts w:ascii="宋体" w:hAnsi="宋体" w:cs="宋体"/>
          <w:sz w:val="28"/>
          <w:szCs w:val="32"/>
        </w:rPr>
      </w:pPr>
      <w:r>
        <w:rPr>
          <w:rFonts w:hint="eastAsia" w:ascii="宋体" w:hAnsi="宋体" w:eastAsia="宋体" w:cs="宋体"/>
          <w:sz w:val="28"/>
          <w:szCs w:val="28"/>
        </w:rPr>
        <w:t>采购项目名称：</w:t>
      </w:r>
      <w:r>
        <w:rPr>
          <w:rFonts w:hint="eastAsia" w:ascii="宋体" w:hAnsi="宋体" w:cs="宋体"/>
          <w:sz w:val="28"/>
          <w:szCs w:val="32"/>
        </w:rPr>
        <w:t>南京邮电大学通达学院2</w:t>
      </w:r>
      <w:r>
        <w:rPr>
          <w:rFonts w:ascii="宋体" w:hAnsi="宋体" w:cs="宋体"/>
          <w:sz w:val="28"/>
          <w:szCs w:val="32"/>
        </w:rPr>
        <w:t>020</w:t>
      </w:r>
      <w:r>
        <w:rPr>
          <w:rFonts w:hint="eastAsia" w:ascii="宋体" w:hAnsi="宋体" w:cs="宋体"/>
          <w:sz w:val="28"/>
          <w:szCs w:val="32"/>
        </w:rPr>
        <w:t>年录取通知书邮寄项目</w:t>
      </w:r>
    </w:p>
    <w:p>
      <w:pPr>
        <w:rPr>
          <w:rFonts w:ascii="宋体" w:hAnsi="宋体" w:eastAsia="宋体" w:cs="宋体"/>
          <w:sz w:val="28"/>
          <w:szCs w:val="28"/>
        </w:rPr>
      </w:pPr>
      <w:r>
        <w:rPr>
          <w:rFonts w:hint="eastAsia" w:ascii="宋体" w:hAnsi="宋体" w:eastAsia="宋体" w:cs="宋体"/>
          <w:sz w:val="28"/>
          <w:szCs w:val="28"/>
        </w:rPr>
        <w:t>采购预算：</w:t>
      </w:r>
      <w:r>
        <w:rPr>
          <w:rFonts w:ascii="宋体" w:hAnsi="宋体" w:eastAsia="宋体" w:cs="宋体"/>
          <w:sz w:val="28"/>
          <w:szCs w:val="28"/>
        </w:rPr>
        <w:t>7</w:t>
      </w:r>
      <w:r>
        <w:rPr>
          <w:rFonts w:hint="eastAsia" w:ascii="宋体" w:hAnsi="宋体" w:eastAsia="宋体" w:cs="宋体"/>
          <w:sz w:val="28"/>
          <w:szCs w:val="28"/>
        </w:rPr>
        <w:t>万</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商定时间：</w:t>
      </w:r>
      <w:r>
        <w:rPr>
          <w:rFonts w:hint="eastAsia" w:ascii="宋体" w:hAnsi="宋体" w:eastAsia="宋体" w:cs="MS Mincho"/>
          <w:sz w:val="28"/>
          <w:szCs w:val="28"/>
          <w:highlight w:val="yellow"/>
        </w:rPr>
        <w:t>202</w:t>
      </w:r>
      <w:r>
        <w:rPr>
          <w:rFonts w:hint="eastAsia" w:ascii="宋体" w:hAnsi="宋体" w:eastAsia="宋体" w:cs="MS Mincho"/>
          <w:sz w:val="28"/>
          <w:szCs w:val="28"/>
          <w:highlight w:val="yellow"/>
          <w:lang w:val="en-US" w:eastAsia="zh-CN"/>
        </w:rPr>
        <w:t>0</w:t>
      </w:r>
      <w:r>
        <w:rPr>
          <w:rFonts w:hint="eastAsia" w:ascii="宋体" w:hAnsi="宋体" w:eastAsia="宋体" w:cs="宋体"/>
          <w:sz w:val="28"/>
          <w:szCs w:val="28"/>
          <w:highlight w:val="yellow"/>
        </w:rPr>
        <w:t>年</w:t>
      </w:r>
      <w:r>
        <w:rPr>
          <w:rFonts w:hint="eastAsia" w:ascii="宋体" w:hAnsi="宋体" w:eastAsia="宋体" w:cs="宋体"/>
          <w:sz w:val="28"/>
          <w:szCs w:val="28"/>
          <w:highlight w:val="yellow"/>
          <w:lang w:val="en-US" w:eastAsia="zh-CN"/>
        </w:rPr>
        <w:t>6</w:t>
      </w:r>
      <w:r>
        <w:rPr>
          <w:rFonts w:hint="eastAsia" w:ascii="宋体" w:hAnsi="宋体" w:eastAsia="宋体" w:cs="宋体"/>
          <w:sz w:val="28"/>
          <w:szCs w:val="28"/>
          <w:highlight w:val="yellow"/>
        </w:rPr>
        <w:t>月</w:t>
      </w:r>
      <w:r>
        <w:rPr>
          <w:rFonts w:hint="eastAsia" w:ascii="宋体" w:hAnsi="宋体" w:eastAsia="宋体" w:cs="宋体"/>
          <w:sz w:val="28"/>
          <w:szCs w:val="28"/>
          <w:highlight w:val="yellow"/>
          <w:lang w:val="en-US" w:eastAsia="zh-CN"/>
        </w:rPr>
        <w:t>18</w:t>
      </w:r>
      <w:r>
        <w:rPr>
          <w:rFonts w:hint="eastAsia" w:ascii="宋体" w:hAnsi="宋体" w:eastAsia="宋体" w:cs="宋体"/>
          <w:sz w:val="28"/>
          <w:szCs w:val="28"/>
          <w:highlight w:val="yellow"/>
        </w:rPr>
        <w:t>日</w:t>
      </w:r>
      <w:r>
        <w:rPr>
          <w:rFonts w:hint="eastAsia" w:ascii="宋体" w:hAnsi="宋体" w:eastAsia="宋体" w:cs="MS Mincho"/>
          <w:sz w:val="28"/>
          <w:szCs w:val="28"/>
          <w:highlight w:val="yellow"/>
          <w:lang w:val="en-US" w:eastAsia="zh-CN"/>
        </w:rPr>
        <w:t>11</w:t>
      </w:r>
      <w:r>
        <w:rPr>
          <w:rFonts w:hint="eastAsia" w:ascii="宋体" w:hAnsi="宋体" w:eastAsia="宋体" w:cs="宋体"/>
          <w:sz w:val="28"/>
          <w:szCs w:val="28"/>
          <w:highlight w:val="yellow"/>
        </w:rPr>
        <w:t>时30</w:t>
      </w:r>
      <w:bookmarkStart w:id="21" w:name="_GoBack"/>
      <w:bookmarkEnd w:id="21"/>
      <w:r>
        <w:rPr>
          <w:rFonts w:hint="eastAsia" w:ascii="宋体" w:hAnsi="宋体" w:eastAsia="宋体" w:cs="宋体"/>
          <w:sz w:val="28"/>
          <w:szCs w:val="28"/>
          <w:highlight w:val="yellow"/>
        </w:rPr>
        <w:t>分</w:t>
      </w:r>
      <w:r>
        <w:rPr>
          <w:rFonts w:hint="eastAsia" w:ascii="宋体" w:hAnsi="宋体" w:eastAsia="宋体" w:cs="宋体"/>
          <w:sz w:val="28"/>
          <w:szCs w:val="28"/>
        </w:rPr>
        <w:t>。</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商定地点：扬州市邗江区润扬南路33号南邮通达行政楼9楼评标室</w:t>
      </w:r>
      <w:r>
        <w:rPr>
          <w:rFonts w:hint="eastAsia" w:ascii="宋体" w:hAnsi="MS Mincho" w:eastAsia="MS Mincho" w:cs="MS Mincho"/>
          <w:sz w:val="28"/>
          <w:szCs w:val="28"/>
        </w:rPr>
        <w:t> </w:t>
      </w:r>
    </w:p>
    <w:p>
      <w:pPr>
        <w:widowControl/>
        <w:jc w:val="left"/>
        <w:rPr>
          <w:rFonts w:ascii="宋体" w:hAnsi="宋体" w:eastAsia="宋体" w:cs="宋体"/>
          <w:sz w:val="36"/>
          <w:szCs w:val="36"/>
        </w:rPr>
      </w:pPr>
      <w:r>
        <w:rPr>
          <w:rFonts w:ascii="宋体" w:hAnsi="宋体" w:eastAsia="宋体" w:cs="宋体"/>
          <w:sz w:val="36"/>
          <w:szCs w:val="36"/>
        </w:rPr>
        <w:br w:type="page"/>
      </w:r>
    </w:p>
    <w:p>
      <w:pPr>
        <w:jc w:val="center"/>
        <w:rPr>
          <w:rFonts w:ascii="宋体" w:hAnsi="宋体" w:eastAsia="宋体" w:cs="宋体"/>
          <w:b/>
          <w:sz w:val="36"/>
          <w:szCs w:val="36"/>
        </w:rPr>
      </w:pPr>
      <w:r>
        <w:rPr>
          <w:rFonts w:hint="eastAsia" w:ascii="宋体" w:hAnsi="宋体" w:eastAsia="宋体" w:cs="MS Mincho"/>
          <w:b/>
          <w:sz w:val="36"/>
          <w:szCs w:val="36"/>
        </w:rPr>
        <w:t>第二章</w:t>
      </w:r>
      <w:r>
        <w:rPr>
          <w:rFonts w:hint="eastAsia" w:ascii="宋体" w:hAnsi="宋体" w:eastAsia="MS Mincho" w:cs="MS Mincho"/>
          <w:b/>
          <w:sz w:val="36"/>
          <w:szCs w:val="36"/>
        </w:rPr>
        <w:t>  </w:t>
      </w:r>
      <w:r>
        <w:rPr>
          <w:rFonts w:hint="eastAsia" w:ascii="宋体" w:hAnsi="宋体" w:eastAsia="宋体" w:cs="宋体"/>
          <w:b/>
          <w:sz w:val="36"/>
          <w:szCs w:val="36"/>
        </w:rPr>
        <w:t>采购项目内容</w:t>
      </w:r>
    </w:p>
    <w:p>
      <w:pPr>
        <w:widowControl/>
        <w:spacing w:line="440" w:lineRule="exact"/>
        <w:ind w:firstLine="560"/>
        <w:jc w:val="left"/>
        <w:rPr>
          <w:rFonts w:ascii="宋体" w:hAnsi="宋体" w:eastAsia="宋体"/>
          <w:b/>
          <w:kern w:val="0"/>
          <w:sz w:val="24"/>
          <w:szCs w:val="24"/>
        </w:rPr>
      </w:pPr>
      <w:r>
        <w:rPr>
          <w:rFonts w:hint="eastAsia" w:ascii="宋体" w:hAnsi="宋体" w:eastAsia="宋体" w:cs="Times New Roman"/>
          <w:b/>
          <w:kern w:val="0"/>
          <w:sz w:val="24"/>
          <w:szCs w:val="24"/>
        </w:rPr>
        <w:t>合格的谈判人</w:t>
      </w:r>
      <w:r>
        <w:rPr>
          <w:rFonts w:hint="eastAsia" w:ascii="宋体" w:hAnsi="宋体" w:eastAsia="宋体"/>
          <w:b/>
          <w:kern w:val="0"/>
          <w:sz w:val="24"/>
          <w:szCs w:val="24"/>
        </w:rPr>
        <w:t>资质要求</w:t>
      </w:r>
      <w:r>
        <w:rPr>
          <w:rFonts w:hint="eastAsia" w:ascii="宋体" w:hAnsi="宋体" w:eastAsia="宋体" w:cs="Times New Roman"/>
          <w:b/>
          <w:kern w:val="0"/>
          <w:sz w:val="24"/>
          <w:szCs w:val="24"/>
        </w:rPr>
        <w:t>：</w:t>
      </w:r>
    </w:p>
    <w:p>
      <w:pPr>
        <w:pStyle w:val="9"/>
        <w:shd w:val="clear" w:color="auto" w:fill="FFFFFF"/>
        <w:spacing w:line="440" w:lineRule="exact"/>
        <w:ind w:firstLine="480" w:firstLineChars="200"/>
        <w:rPr>
          <w:rFonts w:ascii="宋体" w:hAnsi="宋体"/>
          <w:szCs w:val="24"/>
        </w:rPr>
      </w:pPr>
      <w:r>
        <w:rPr>
          <w:rFonts w:hint="eastAsia" w:ascii="宋体" w:hAnsi="宋体"/>
          <w:szCs w:val="24"/>
        </w:rPr>
        <w:t>1、谈判人必须是经国家有关部门批准，具有合法经营资质、符合《中华人民共和国政府采购法》第二十二条规定的独立法人；</w:t>
      </w:r>
    </w:p>
    <w:p>
      <w:pPr>
        <w:pStyle w:val="9"/>
        <w:shd w:val="clear" w:color="auto" w:fill="FFFFFF"/>
        <w:spacing w:line="440" w:lineRule="exact"/>
        <w:ind w:firstLine="480" w:firstLineChars="200"/>
        <w:rPr>
          <w:rFonts w:ascii="宋体" w:hAnsi="宋体"/>
          <w:szCs w:val="24"/>
        </w:rPr>
      </w:pPr>
      <w:r>
        <w:rPr>
          <w:rFonts w:hint="eastAsia" w:ascii="宋体" w:hAnsi="宋体"/>
          <w:szCs w:val="24"/>
        </w:rPr>
        <w:t>2、谈判人具有项目必须的技术条件或经营能力，具备法律法规规定的其它条件和良好的社会信誉，在经营活动中没有违法违规记录，近三年内没有被司法部门或行业主管部门处罚，提供书面声明；</w:t>
      </w:r>
    </w:p>
    <w:p>
      <w:pPr>
        <w:pStyle w:val="9"/>
        <w:shd w:val="clear" w:color="auto" w:fill="FFFFFF"/>
        <w:spacing w:line="440" w:lineRule="exact"/>
        <w:ind w:firstLine="482" w:firstLineChars="200"/>
        <w:rPr>
          <w:rFonts w:ascii="宋体" w:hAnsi="宋体"/>
          <w:b/>
          <w:szCs w:val="24"/>
        </w:rPr>
      </w:pPr>
      <w:r>
        <w:rPr>
          <w:rFonts w:hint="eastAsia" w:ascii="宋体" w:hAnsi="宋体"/>
          <w:b/>
          <w:szCs w:val="24"/>
        </w:rPr>
        <w:t xml:space="preserve">3、谈判人未被“信用中国”（www.creditchina.gov.cn）或“诚信江苏”（www.jscredit.gov.cn）或中国政府采购网（www.ccgp.gov.cn）列入失信被执行人、重大税收违法案件当事人名单、政府采购严重失信行为记录名单，提供网页截图。 </w:t>
      </w:r>
    </w:p>
    <w:p>
      <w:pPr>
        <w:pStyle w:val="9"/>
        <w:shd w:val="clear" w:color="auto" w:fill="FFFFFF"/>
        <w:spacing w:line="440" w:lineRule="exact"/>
        <w:ind w:firstLine="480" w:firstLineChars="200"/>
        <w:rPr>
          <w:rFonts w:ascii="宋体" w:hAnsi="宋体"/>
          <w:szCs w:val="24"/>
        </w:rPr>
      </w:pPr>
      <w:r>
        <w:rPr>
          <w:rFonts w:hint="eastAsia" w:ascii="宋体" w:hAnsi="宋体"/>
          <w:szCs w:val="24"/>
        </w:rPr>
        <w:t>4、本项目不接受联合体谈判。</w:t>
      </w:r>
    </w:p>
    <w:p>
      <w:pPr>
        <w:ind w:firstLine="562" w:firstLineChars="200"/>
        <w:rPr>
          <w:rFonts w:ascii="Times New Roman" w:hAnsi="Times New Roman"/>
          <w:b/>
          <w:sz w:val="28"/>
          <w:szCs w:val="28"/>
        </w:rPr>
      </w:pPr>
    </w:p>
    <w:p>
      <w:pPr>
        <w:ind w:firstLine="480" w:firstLineChars="200"/>
        <w:rPr>
          <w:rFonts w:ascii="Times New Roman" w:hAnsi="Times New Roman"/>
          <w:sz w:val="24"/>
          <w:szCs w:val="28"/>
        </w:rPr>
      </w:pPr>
      <w:r>
        <w:rPr>
          <w:rFonts w:hint="eastAsia" w:ascii="Times New Roman" w:hAnsi="Times New Roman"/>
          <w:sz w:val="24"/>
          <w:szCs w:val="28"/>
        </w:rPr>
        <w:t>南京邮电大学通达学院2</w:t>
      </w:r>
      <w:r>
        <w:rPr>
          <w:rFonts w:ascii="Times New Roman" w:hAnsi="Times New Roman"/>
          <w:sz w:val="24"/>
          <w:szCs w:val="28"/>
        </w:rPr>
        <w:t>020</w:t>
      </w:r>
      <w:r>
        <w:rPr>
          <w:rFonts w:hint="eastAsia" w:ascii="Times New Roman" w:hAnsi="Times New Roman"/>
          <w:sz w:val="24"/>
          <w:szCs w:val="28"/>
        </w:rPr>
        <w:t>年需寄出录取通知书约3</w:t>
      </w:r>
      <w:r>
        <w:rPr>
          <w:rFonts w:ascii="Times New Roman" w:hAnsi="Times New Roman"/>
          <w:sz w:val="24"/>
          <w:szCs w:val="28"/>
        </w:rPr>
        <w:t>058</w:t>
      </w:r>
      <w:r>
        <w:rPr>
          <w:rFonts w:hint="eastAsia" w:ascii="Times New Roman" w:hAnsi="Times New Roman"/>
          <w:sz w:val="24"/>
          <w:szCs w:val="28"/>
        </w:rPr>
        <w:t>份，具体要求如下：</w:t>
      </w:r>
    </w:p>
    <w:p>
      <w:pPr>
        <w:ind w:firstLine="480" w:firstLineChars="200"/>
        <w:rPr>
          <w:rFonts w:ascii="Times New Roman" w:hAnsi="Times New Roman"/>
          <w:sz w:val="24"/>
          <w:szCs w:val="28"/>
        </w:rPr>
      </w:pPr>
      <w:r>
        <w:rPr>
          <w:rFonts w:hint="eastAsia" w:ascii="Times New Roman" w:hAnsi="Times New Roman"/>
          <w:sz w:val="24"/>
          <w:szCs w:val="28"/>
        </w:rPr>
        <w:t>1、供应商应承诺遵守严格保密的原则，不得将学生的录取信息泄露给任何第三方。</w:t>
      </w:r>
    </w:p>
    <w:p>
      <w:pPr>
        <w:ind w:firstLine="480" w:firstLineChars="200"/>
        <w:rPr>
          <w:rFonts w:ascii="Times New Roman" w:hAnsi="Times New Roman"/>
          <w:sz w:val="24"/>
          <w:szCs w:val="28"/>
        </w:rPr>
      </w:pPr>
      <w:r>
        <w:rPr>
          <w:rFonts w:hint="eastAsia" w:ascii="Times New Roman" w:hAnsi="Times New Roman"/>
          <w:sz w:val="24"/>
          <w:szCs w:val="28"/>
        </w:rPr>
        <w:t>2、在未经学校允许的情况下，不得利用学校提供的学生信息寄递任何其他邮件。</w:t>
      </w:r>
    </w:p>
    <w:p>
      <w:pPr>
        <w:ind w:firstLine="480" w:firstLineChars="200"/>
        <w:rPr>
          <w:rFonts w:hint="eastAsia" w:ascii="Times New Roman" w:hAnsi="Times New Roman"/>
          <w:sz w:val="24"/>
          <w:szCs w:val="28"/>
        </w:rPr>
      </w:pPr>
      <w:r>
        <w:rPr>
          <w:rFonts w:hint="eastAsia" w:ascii="Times New Roman" w:hAnsi="Times New Roman"/>
          <w:sz w:val="24"/>
          <w:szCs w:val="28"/>
        </w:rPr>
        <w:t>3、由于邮寄材料的特殊性，供应商应保证快递签收人为收件人或其亲属。</w:t>
      </w:r>
    </w:p>
    <w:p>
      <w:pPr>
        <w:ind w:firstLine="480" w:firstLineChars="200"/>
        <w:rPr>
          <w:rFonts w:ascii="Times New Roman" w:hAnsi="Times New Roman"/>
          <w:sz w:val="24"/>
          <w:szCs w:val="28"/>
        </w:rPr>
      </w:pPr>
      <w:r>
        <w:rPr>
          <w:rFonts w:ascii="Times New Roman" w:hAnsi="Times New Roman"/>
          <w:sz w:val="24"/>
          <w:szCs w:val="28"/>
        </w:rPr>
        <w:t>4</w:t>
      </w:r>
      <w:r>
        <w:rPr>
          <w:rFonts w:hint="eastAsia" w:ascii="Times New Roman" w:hAnsi="Times New Roman"/>
          <w:sz w:val="24"/>
          <w:szCs w:val="28"/>
        </w:rPr>
        <w:t>、供应商应为学院设计、印制“录取通知书”特快专递专用信封，并提供特快专递详情单打印服务。</w:t>
      </w:r>
    </w:p>
    <w:p>
      <w:pPr>
        <w:widowControl/>
        <w:jc w:val="left"/>
        <w:rPr>
          <w:rFonts w:ascii="Times New Roman" w:hAnsi="Times New Roman"/>
          <w:b/>
          <w:sz w:val="24"/>
          <w:szCs w:val="28"/>
        </w:rPr>
      </w:pPr>
      <w:r>
        <w:rPr>
          <w:rFonts w:ascii="Times New Roman" w:hAnsi="Times New Roman"/>
          <w:b/>
          <w:sz w:val="24"/>
          <w:szCs w:val="28"/>
        </w:rPr>
        <w:br w:type="page"/>
      </w:r>
    </w:p>
    <w:p>
      <w:pPr>
        <w:jc w:val="center"/>
        <w:rPr>
          <w:rFonts w:ascii="宋体" w:hAnsi="宋体" w:eastAsia="宋体" w:cs="宋体"/>
          <w:b/>
          <w:sz w:val="36"/>
          <w:szCs w:val="36"/>
        </w:rPr>
      </w:pPr>
      <w:r>
        <w:rPr>
          <w:rFonts w:hint="eastAsia" w:ascii="宋体" w:hAnsi="宋体" w:eastAsia="宋体" w:cs="宋体"/>
          <w:b/>
          <w:sz w:val="36"/>
          <w:szCs w:val="36"/>
        </w:rPr>
        <w:t>第三章</w:t>
      </w:r>
      <w:r>
        <w:rPr>
          <w:rFonts w:hint="eastAsia" w:ascii="宋体" w:hAnsi="MS Mincho" w:eastAsia="MS Mincho" w:cs="MS Mincho"/>
          <w:b/>
          <w:sz w:val="36"/>
          <w:szCs w:val="36"/>
        </w:rPr>
        <w:t>  </w:t>
      </w:r>
      <w:r>
        <w:rPr>
          <w:rFonts w:hint="eastAsia" w:ascii="宋体" w:hAnsi="宋体" w:eastAsia="宋体" w:cs="宋体"/>
          <w:b/>
          <w:sz w:val="36"/>
          <w:szCs w:val="36"/>
        </w:rPr>
        <w:t>谈判须知</w:t>
      </w:r>
    </w:p>
    <w:p>
      <w:pPr>
        <w:spacing w:line="360" w:lineRule="exact"/>
        <w:ind w:firstLine="482" w:firstLineChars="200"/>
        <w:rPr>
          <w:rFonts w:ascii="宋体" w:hAnsi="宋体" w:cs="宋体"/>
          <w:b/>
          <w:sz w:val="24"/>
          <w:szCs w:val="24"/>
        </w:rPr>
      </w:pPr>
      <w:bookmarkStart w:id="0" w:name="_Toc20823275"/>
      <w:bookmarkStart w:id="1" w:name="_Toc120614214"/>
      <w:bookmarkStart w:id="2" w:name="_Toc16938519"/>
      <w:bookmarkStart w:id="3"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2、合格的谈判人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2.1满足采购公告中谈判人资质要求的规定。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4、谈判费用</w:t>
      </w:r>
    </w:p>
    <w:p>
      <w:pPr>
        <w:spacing w:line="360" w:lineRule="exact"/>
        <w:ind w:firstLine="480" w:firstLineChars="200"/>
        <w:rPr>
          <w:rFonts w:ascii="宋体" w:hAnsi="宋体" w:cs="宋体"/>
          <w:sz w:val="24"/>
          <w:szCs w:val="24"/>
        </w:rPr>
      </w:pPr>
      <w:r>
        <w:rPr>
          <w:rFonts w:hint="eastAsia" w:ascii="宋体" w:hAnsi="宋体" w:cs="宋体"/>
          <w:sz w:val="24"/>
          <w:szCs w:val="24"/>
        </w:rPr>
        <w:t>4.1谈判人应自行承担所有参与谈判有关费用，无论谈判过程中的做法和结果如何，采购人在任何情况下均无义务和责任承担这些费用。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5.1谈判人一旦购买了本采购文件并参与谈判，即被认为接受了本采购文件中的所有条件和规定。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（1）谈判人须知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（5）谈判文件格式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任何要求对采购文件进行澄清的谈判人，均应在谈判截止期前3日前以书面形式通知采购人。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8.l在谈判截止日期3日前，无论何种原因，采购人均可主动或在解答谈判人提出的澄清问题时对采购文件进行修改。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8.2采购文件的修改将在“南京邮电大学”网站上公布，并对所有谈判人具有约束力。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8.3为使谈判人编写标书有充分时间对标书文件的修改部分进行分析、研究，采购人有权推迟谈判截止日期和开标日期，并将此变更书面通知所有购买采购文件的谈判人。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三、谈判文件的编制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9、谈判语言及度量衡单位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9.1谈判人提供的谈判文件以及谈判人与采购人就有关谈判的所有来往通知、函件和文件均使用简体中文。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9.2除技术性能另有规定外，谈判文件所使用的度量衡单位，均采用国家法定计量单位。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10、谈判文件的构成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谈判人编写的谈判文件应包括下列部分：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10.1谈判文件目录；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10.2谈判函：须含谈判人的开户名称、开户银行、账号、电话、传真、E-mail等联系方式；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10.3谈判人资格证明材料；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（7）企业基本情况（经营规模、经营状况及行业优势）简介及谈判人认为有必要提供的其它文件。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10.4开标一览表：谈判人应按照采购文件中提供的格式完整、正确地填写开标一览表。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（3）开标一览表中的价格应与谈判文件中的报价表中价格一致，如不一致，不作为无效谈判处理，但评标时一律按开标一览表中价格为准。</w:t>
      </w:r>
      <w:r>
        <w:rPr>
          <w:rFonts w:hint="eastAsia" w:ascii="宋体" w:hAnsi="宋体" w:cs="宋体"/>
          <w:b/>
          <w:sz w:val="24"/>
          <w:szCs w:val="24"/>
        </w:rPr>
        <w:t>开标一览表必须盖章，并单独装在小信封内于谈判截止时间前与谈判文件一起递交。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10.6谈判人按照采购文件中商务条款提供交货安装、工期保证等方案以及产品售后服务和质量承诺，并附《商务条款响应及偏离表》；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10.7谈判人的业绩情况；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10.8谈判人认为有必要提供的声明及文件材料；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10.9谈判人应将谈判文件按上述顺序分别装订成册。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采购文件未列明，而谈判单位认为必需的费用也需列入报价。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12、谈判保证金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12.1谈判人应以人民币提交</w:t>
      </w:r>
      <w:r>
        <w:rPr>
          <w:rFonts w:hint="eastAsia" w:ascii="宋体" w:hAnsi="宋体" w:cs="宋体"/>
          <w:sz w:val="24"/>
          <w:szCs w:val="24"/>
          <w:u w:val="single"/>
        </w:rPr>
        <w:t>壹仟元（1000元）</w:t>
      </w:r>
      <w:r>
        <w:rPr>
          <w:rFonts w:hint="eastAsia" w:ascii="宋体" w:hAnsi="宋体" w:cs="宋体"/>
          <w:sz w:val="24"/>
          <w:szCs w:val="24"/>
        </w:rPr>
        <w:t>谈判保证金，作为其谈判的组成部分之一。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谈判保证金是为了保护招标人免遭因谈判人的不良行为而蒙受的损失，采购人在因谈判人的行为遭受损失时，可根据第12.5条的规定没收谈判人的谈判保证金。谈判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12.3对于未按要求提交谈判保证金的谈判，将被视为非响应性谈判而予以拒绝。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12.4谈判人的谈判保证金，将在开标结束后予以退还，但不计利息。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12.5下列任何情况发生时，谈判保证金将被没收：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(1)谈判人在开标截止日期内撤回其谈判书；</w:t>
      </w:r>
    </w:p>
    <w:p>
      <w:pPr>
        <w:spacing w:line="360" w:lineRule="exact"/>
        <w:ind w:firstLine="480" w:firstLineChars="200"/>
        <w:rPr>
          <w:rFonts w:ascii="宋体" w:hAnsi="宋体" w:cs="宋体"/>
          <w:sz w:val="24"/>
          <w:szCs w:val="24"/>
        </w:rPr>
      </w:pPr>
      <w:r>
        <w:rPr>
          <w:rFonts w:hint="eastAsia" w:ascii="宋体" w:hAnsi="宋体" w:cs="宋体"/>
          <w:sz w:val="24"/>
          <w:szCs w:val="24"/>
        </w:rPr>
        <w:t>(2)谈判人提供的有关资料、资格证明文件被确认是不真实的；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13、谈判有效期</w:t>
      </w:r>
    </w:p>
    <w:p>
      <w:pPr>
        <w:spacing w:line="360" w:lineRule="exact"/>
        <w:ind w:firstLine="480" w:firstLineChars="200"/>
        <w:rPr>
          <w:rFonts w:ascii="宋体" w:hAnsi="宋体" w:cs="宋体"/>
          <w:sz w:val="24"/>
          <w:szCs w:val="24"/>
        </w:rPr>
      </w:pPr>
      <w:r>
        <w:rPr>
          <w:rFonts w:hint="eastAsia" w:ascii="宋体" w:hAnsi="宋体" w:cs="宋体"/>
          <w:sz w:val="24"/>
          <w:szCs w:val="24"/>
        </w:rPr>
        <w:t>谈判有效期为招标人规定的开标之日后三十(30)天内有效。如果采购人在有效期之内，可向谈判人提出缩短或延长谈判有效期的要求。要求与答复均应采用书面形式。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14、谈判文件份数和签署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14.l谈判文件一式五份(正本一份，副本四份)。一旦正本和副本不符，以正本为准。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14.2谈判文件中法定代表人或其授权代表签字。授权代表须将法人代表人以书面形式出具法人代表授权书(原件)附在谈判文件中。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14.3除谈判人对错处做必要修改时，谈判文件不得行间插字、涂改或增删。如有修改错漏处，必须由谈判文件签署人签字并加盖公章。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四、谈判文件的递交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15、谈判文件的密封和标记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15.1谈判人应将谈判文件密封，封口处要贴封签并加盖谈判单位公章。不论谈判人中标与否，谈判文件均不退回。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15.2文件袋上应注明谈判项目名称、正、副本、谈判单位、授权代表姓名及联系方式。如因标注不清而产生的后果由谈判人自负。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未按要求密封和加写标记，采购人对误投或过早启封概不负责。对由此造成提前开封的谈判文件，采购人将予以拒绝，作无效谈判处理。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16、谈判截止日期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采购人收到谈判文件的时间不得迟于采购公告中规定的截止时间。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17、迟交的谈判文件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迟交的谈判文件将被拒收并原封退回。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18、谈判文件的修改和撤回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18.1谈判人在递交谈判书后，在规定的谈判截止日期前可以修改或撤回其谈判文件。修改文件必须在谈判截止时间前送达采购招标管理办公室。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18.2谈判截止日期后不可对其谈判文件作任何修改或撤回，否则其谈判保证金将被没收。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19.l采购人将在规定的时间和地址组织公开开标。谈判人法人代表或授权代表须携本人身份证原件参加公开开标。如有必要可以让谈判人有一定时间的陈述，或接收评标工作组成员的提问后退场。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20.l公开开标后，直至通知谈判人中标为止，凡是与审查、澄清、评价和比较谈判的有关资料，均不得向谈判人或与评标无关的人员透露。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20.2谈判人试图影响评标或授予合同方面的任何尝试，可能导致该谈判人的标被废弃。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21、谈判的澄清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21.1评标期间，为有助于对谈判文件的审查、评价和比较，评标工作组有权要求谈判人对其谈判文件进行澄清，但并非对每个谈判人都作澄清要求。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21.2接到澄清要求的谈判人应派人按要求做出澄清，书面澄清的内容须由谈判人法定代表人或授权代表签署，并作为谈判文件的补充部分，但谈判的价格和实质性的内容不得做任何更改。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接到澄清要求的谈判人如未按规定做出澄清，其风险由谈判人自行承担。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22、无效谈判条款和废标条款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22.1无效谈判条款：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（1）未按要求交纳谈判保证金的；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（3）谈判人在报价时采用选择性报价；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（4）谈判人不具备采购文件中规定资格要求的；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（5）不符合法律、法规和本采购文件中规定的属无效谈判的情形。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（3）谈判人的报价均超过了采购预算的；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23.1评标工作组首先对所有合格谈判人按评标办法进行打分，根据综合得分，由高到低排列，向招标小组推荐中标候选人。最终由招标小组根据推荐的中标候选人确定中标人。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（4）恶意竞争，谈判总报价明显低于其自身合理成本且又无法提供证明的；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24.1参加谈判供应商认为采购过程和采购结果使自己的权益受到损害的，可以从采购结果公布之日起3日内，以书面形式向采购人提出质疑。非书面形式、3日之外提交以及匿名的质疑将不予受理。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24.2质疑必须以参加谈判供应商法人代表或授权代表（谈判文件中所确定的）送达的方式提交，未按上述要求提交的质疑函（含传真、电子邮件等）采购人有权不予受理。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24.3未参加谈判的供应商或在谈判活动中本身权益未受到损害或从谈判活动中受益的供应商所提出的质疑也不予受理。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24.4谈判人提出书面质疑必须有理、有据，不得恶意质疑或提交虚假质疑。否则，采购人将不予受理。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24.5采购人将在收到谈判供应商的书面质疑后在规定时间内作出答复，但答复的内容不得涉及商业秘密。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25.2采购文件、中标人的谈判文件及澄清文件等，均为签订合同的依据。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bookmarkEnd w:id="0"/>
      <w:bookmarkEnd w:id="1"/>
      <w:bookmarkEnd w:id="2"/>
      <w:bookmarkEnd w:id="3"/>
    </w:p>
    <w:p>
      <w:pPr>
        <w:widowControl/>
        <w:jc w:val="left"/>
        <w:rPr>
          <w:rFonts w:ascii="宋体" w:hAnsi="宋体" w:cs="宋体"/>
          <w:sz w:val="24"/>
          <w:szCs w:val="24"/>
        </w:rPr>
      </w:pPr>
      <w:r>
        <w:rPr>
          <w:rFonts w:ascii="宋体" w:hAnsi="宋体" w:cs="宋体"/>
          <w:sz w:val="24"/>
          <w:szCs w:val="24"/>
        </w:rPr>
        <w:br w:type="page"/>
      </w:r>
    </w:p>
    <w:p>
      <w:pPr>
        <w:spacing w:line="360" w:lineRule="exact"/>
        <w:ind w:firstLine="480" w:firstLineChars="200"/>
        <w:rPr>
          <w:rFonts w:ascii="宋体" w:hAnsi="宋体" w:cs="宋体"/>
          <w:sz w:val="24"/>
          <w:szCs w:val="24"/>
        </w:rPr>
      </w:pPr>
    </w:p>
    <w:p>
      <w:pPr>
        <w:jc w:val="center"/>
        <w:rPr>
          <w:rFonts w:ascii="宋体" w:hAnsi="宋体" w:eastAsia="宋体" w:cs="宋体"/>
          <w:b/>
          <w:sz w:val="36"/>
          <w:szCs w:val="36"/>
        </w:rPr>
      </w:pPr>
      <w:r>
        <w:rPr>
          <w:rFonts w:hint="eastAsia" w:ascii="宋体" w:hAnsi="宋体" w:eastAsia="宋体" w:cs="宋体"/>
          <w:b/>
          <w:sz w:val="36"/>
          <w:szCs w:val="36"/>
        </w:rPr>
        <w:t>第四章</w:t>
      </w:r>
      <w:r>
        <w:rPr>
          <w:rFonts w:hint="eastAsia" w:ascii="宋体" w:hAnsi="MS Mincho" w:eastAsia="MS Mincho" w:cs="MS Mincho"/>
          <w:b/>
          <w:sz w:val="36"/>
          <w:szCs w:val="36"/>
        </w:rPr>
        <w:t>  </w:t>
      </w:r>
      <w:r>
        <w:rPr>
          <w:rFonts w:hint="eastAsia" w:ascii="宋体" w:hAnsi="宋体" w:eastAsia="宋体" w:cs="宋体"/>
          <w:b/>
          <w:sz w:val="36"/>
          <w:szCs w:val="36"/>
        </w:rPr>
        <w:t>合同书格式</w:t>
      </w:r>
    </w:p>
    <w:p>
      <w:pPr>
        <w:jc w:val="center"/>
        <w:rPr>
          <w:rFonts w:ascii="宋体" w:hAnsi="宋体" w:eastAsia="宋体"/>
          <w:b/>
          <w:sz w:val="36"/>
          <w:szCs w:val="36"/>
        </w:rPr>
      </w:pPr>
    </w:p>
    <w:p>
      <w:pPr>
        <w:adjustRightInd w:val="0"/>
        <w:snapToGrid w:val="0"/>
        <w:spacing w:line="440" w:lineRule="exact"/>
        <w:jc w:val="center"/>
        <w:rPr>
          <w:rFonts w:ascii="宋体" w:hAnsi="宋体" w:eastAsia="宋体" w:cs="Times New Roman"/>
          <w:b/>
          <w:snapToGrid w:val="0"/>
          <w:sz w:val="36"/>
          <w:szCs w:val="36"/>
        </w:rPr>
      </w:pPr>
      <w:bookmarkStart w:id="4" w:name="_Toc111458441"/>
      <w:r>
        <w:rPr>
          <w:rFonts w:hint="eastAsia" w:ascii="宋体" w:hAnsi="宋体" w:eastAsia="宋体" w:cs="Times New Roman"/>
          <w:b/>
          <w:snapToGrid w:val="0"/>
          <w:sz w:val="36"/>
          <w:szCs w:val="36"/>
        </w:rPr>
        <w:t>南京邮电大学通达学院</w:t>
      </w:r>
      <w:bookmarkEnd w:id="4"/>
      <w:r>
        <w:rPr>
          <w:rFonts w:hint="eastAsia" w:ascii="宋体" w:hAnsi="宋体" w:eastAsia="宋体" w:cs="Times New Roman"/>
          <w:b/>
          <w:snapToGrid w:val="0"/>
          <w:sz w:val="36"/>
          <w:szCs w:val="36"/>
        </w:rPr>
        <w:t>采购合同</w:t>
      </w:r>
    </w:p>
    <w:p>
      <w:pPr>
        <w:spacing w:line="440" w:lineRule="exact"/>
        <w:rPr>
          <w:rFonts w:ascii="宋体" w:hAnsi="宋体" w:eastAsia="宋体" w:cs="Times New Roman"/>
          <w:sz w:val="24"/>
        </w:rPr>
      </w:pPr>
      <w:r>
        <w:rPr>
          <w:rFonts w:hint="eastAsia" w:ascii="宋体" w:hAnsi="宋体" w:eastAsia="宋体" w:cs="Times New Roman"/>
          <w:sz w:val="24"/>
        </w:rPr>
        <w:t>甲方：南京邮电大学通达学院                 项目编号：</w:t>
      </w:r>
    </w:p>
    <w:p>
      <w:pPr>
        <w:spacing w:line="440" w:lineRule="exact"/>
        <w:rPr>
          <w:rFonts w:ascii="宋体" w:hAnsi="宋体" w:eastAsia="宋体" w:cs="Times New Roman"/>
          <w:sz w:val="24"/>
        </w:rPr>
      </w:pPr>
      <w:r>
        <w:rPr>
          <w:rFonts w:hint="eastAsia" w:ascii="宋体" w:hAnsi="宋体" w:eastAsia="宋体" w:cs="Times New Roman"/>
          <w:sz w:val="24"/>
        </w:rPr>
        <w:t>乙方：</w:t>
      </w:r>
    </w:p>
    <w:p>
      <w:pPr>
        <w:widowControl/>
        <w:snapToGrid w:val="0"/>
        <w:spacing w:line="440" w:lineRule="exact"/>
        <w:rPr>
          <w:rFonts w:ascii="宋体" w:hAnsi="宋体" w:eastAsia="宋体" w:cs="Times New Roman"/>
          <w:sz w:val="24"/>
        </w:rPr>
      </w:pP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    甲乙双方根据项目招标（谈判、询价）采购结果,依据《中华人民共和国合同法》及相关法律规定，达成如下货物购销合同:</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一、货物及其数量、金额：</w:t>
      </w:r>
    </w:p>
    <w:tbl>
      <w:tblPr>
        <w:tblStyle w:val="10"/>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840"/>
        <w:gridCol w:w="335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编号</w:t>
            </w:r>
          </w:p>
        </w:tc>
        <w:tc>
          <w:tcPr>
            <w:tcW w:w="1840"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货物名称</w:t>
            </w:r>
          </w:p>
        </w:tc>
        <w:tc>
          <w:tcPr>
            <w:tcW w:w="3353"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规格型号（品牌）</w:t>
            </w:r>
          </w:p>
        </w:tc>
        <w:tc>
          <w:tcPr>
            <w:tcW w:w="992"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数量</w:t>
            </w:r>
          </w:p>
        </w:tc>
        <w:tc>
          <w:tcPr>
            <w:tcW w:w="1276" w:type="dxa"/>
            <w:shd w:val="pct10" w:color="auto" w:fill="FFFFFF"/>
            <w:vAlign w:val="center"/>
          </w:tcPr>
          <w:p>
            <w:pPr>
              <w:snapToGrid w:val="0"/>
              <w:spacing w:line="440" w:lineRule="exact"/>
              <w:jc w:val="center"/>
              <w:rPr>
                <w:rFonts w:ascii="宋体" w:hAnsi="宋体" w:eastAsia="宋体" w:cs="Times New Roman"/>
                <w:b/>
                <w:kern w:val="0"/>
                <w:sz w:val="24"/>
              </w:rPr>
            </w:pPr>
            <w:r>
              <w:rPr>
                <w:rFonts w:hint="eastAsia" w:ascii="宋体" w:hAnsi="宋体" w:eastAsia="宋体" w:cs="Times New Roman"/>
                <w:b/>
                <w:kern w:val="0"/>
                <w:sz w:val="24"/>
              </w:rPr>
              <w:t>单价（元）</w:t>
            </w:r>
          </w:p>
        </w:tc>
        <w:tc>
          <w:tcPr>
            <w:tcW w:w="1275" w:type="dxa"/>
            <w:shd w:val="pct10" w:color="auto" w:fill="FFFFFF"/>
            <w:vAlign w:val="center"/>
          </w:tcPr>
          <w:p>
            <w:pPr>
              <w:widowControl/>
              <w:spacing w:line="440" w:lineRule="exact"/>
              <w:jc w:val="left"/>
              <w:rPr>
                <w:rFonts w:ascii="宋体" w:hAnsi="宋体" w:eastAsia="宋体" w:cs="Times New Roman"/>
                <w:b/>
                <w:kern w:val="0"/>
                <w:sz w:val="24"/>
              </w:rPr>
            </w:pPr>
            <w:r>
              <w:rPr>
                <w:rFonts w:hint="eastAsia" w:ascii="宋体" w:hAnsi="宋体" w:eastAsia="宋体" w:cs="Times New Roman"/>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1</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宋体"/>
                <w:sz w:val="24"/>
              </w:rPr>
            </w:pPr>
          </w:p>
        </w:tc>
        <w:tc>
          <w:tcPr>
            <w:tcW w:w="992" w:type="dxa"/>
            <w:vAlign w:val="center"/>
          </w:tcPr>
          <w:p>
            <w:pPr>
              <w:snapToGrid w:val="0"/>
              <w:spacing w:line="440" w:lineRule="exact"/>
              <w:ind w:firstLine="117" w:firstLineChars="49"/>
              <w:rPr>
                <w:rFonts w:ascii="宋体" w:hAnsi="宋体" w:eastAsia="宋体" w:cs="Times New Roman"/>
                <w:kern w:val="0"/>
                <w:sz w:val="24"/>
              </w:rPr>
            </w:pPr>
          </w:p>
        </w:tc>
        <w:tc>
          <w:tcPr>
            <w:tcW w:w="1276" w:type="dxa"/>
            <w:vAlign w:val="center"/>
          </w:tcPr>
          <w:p>
            <w:pPr>
              <w:spacing w:line="440" w:lineRule="exact"/>
              <w:jc w:val="center"/>
              <w:rPr>
                <w:rFonts w:ascii="宋体" w:hAnsi="宋体" w:eastAsia="宋体" w:cs="Times New Roman"/>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2</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Times New Roman"/>
                <w:b/>
                <w:sz w:val="24"/>
              </w:rPr>
            </w:pPr>
          </w:p>
        </w:tc>
        <w:tc>
          <w:tcPr>
            <w:tcW w:w="992" w:type="dxa"/>
            <w:vAlign w:val="center"/>
          </w:tcPr>
          <w:p>
            <w:pPr>
              <w:snapToGrid w:val="0"/>
              <w:spacing w:line="440" w:lineRule="exact"/>
              <w:ind w:firstLine="118" w:firstLineChars="49"/>
              <w:rPr>
                <w:rFonts w:ascii="宋体" w:hAnsi="宋体" w:eastAsia="宋体" w:cs="Times New Roman"/>
                <w:b/>
                <w:kern w:val="0"/>
                <w:sz w:val="24"/>
              </w:rPr>
            </w:pPr>
          </w:p>
        </w:tc>
        <w:tc>
          <w:tcPr>
            <w:tcW w:w="1276" w:type="dxa"/>
            <w:vAlign w:val="center"/>
          </w:tcPr>
          <w:p>
            <w:pPr>
              <w:snapToGrid w:val="0"/>
              <w:spacing w:line="440" w:lineRule="exact"/>
              <w:ind w:firstLine="118" w:firstLineChars="49"/>
              <w:rPr>
                <w:rFonts w:ascii="宋体" w:hAnsi="宋体" w:eastAsia="宋体" w:cs="Times New Roman"/>
                <w:b/>
                <w:kern w:val="0"/>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440" w:lineRule="exact"/>
              <w:rPr>
                <w:rFonts w:ascii="宋体" w:hAnsi="宋体" w:eastAsia="宋体" w:cs="Times New Roman"/>
                <w:b/>
                <w:kern w:val="0"/>
                <w:sz w:val="24"/>
              </w:rPr>
            </w:pPr>
            <w:r>
              <w:rPr>
                <w:rFonts w:hint="eastAsia" w:ascii="宋体" w:hAnsi="宋体" w:eastAsia="宋体" w:cs="Times New Roman"/>
                <w:b/>
                <w:kern w:val="0"/>
                <w:sz w:val="24"/>
              </w:rPr>
              <w:t>3</w:t>
            </w:r>
          </w:p>
        </w:tc>
        <w:tc>
          <w:tcPr>
            <w:tcW w:w="1840" w:type="dxa"/>
            <w:vAlign w:val="center"/>
          </w:tcPr>
          <w:p>
            <w:pPr>
              <w:snapToGrid w:val="0"/>
              <w:spacing w:line="440" w:lineRule="exact"/>
              <w:jc w:val="center"/>
              <w:rPr>
                <w:rFonts w:ascii="宋体" w:hAnsi="宋体" w:eastAsia="宋体" w:cs="Times New Roman"/>
                <w:sz w:val="24"/>
              </w:rPr>
            </w:pPr>
          </w:p>
        </w:tc>
        <w:tc>
          <w:tcPr>
            <w:tcW w:w="3353" w:type="dxa"/>
            <w:vAlign w:val="center"/>
          </w:tcPr>
          <w:p>
            <w:pPr>
              <w:spacing w:line="440" w:lineRule="exact"/>
              <w:rPr>
                <w:rFonts w:ascii="宋体" w:hAnsi="宋体" w:eastAsia="宋体" w:cs="Times New Roman"/>
                <w:b/>
                <w:sz w:val="24"/>
              </w:rPr>
            </w:pPr>
          </w:p>
        </w:tc>
        <w:tc>
          <w:tcPr>
            <w:tcW w:w="992" w:type="dxa"/>
            <w:vAlign w:val="center"/>
          </w:tcPr>
          <w:p>
            <w:pPr>
              <w:snapToGrid w:val="0"/>
              <w:spacing w:line="440" w:lineRule="exact"/>
              <w:ind w:firstLine="118" w:firstLineChars="49"/>
              <w:rPr>
                <w:rFonts w:ascii="宋体" w:hAnsi="宋体" w:eastAsia="宋体" w:cs="Times New Roman"/>
                <w:b/>
                <w:kern w:val="0"/>
                <w:sz w:val="24"/>
              </w:rPr>
            </w:pPr>
          </w:p>
        </w:tc>
        <w:tc>
          <w:tcPr>
            <w:tcW w:w="1276" w:type="dxa"/>
            <w:vAlign w:val="center"/>
          </w:tcPr>
          <w:p>
            <w:pPr>
              <w:snapToGrid w:val="0"/>
              <w:spacing w:line="440" w:lineRule="exact"/>
              <w:ind w:firstLine="118" w:firstLineChars="49"/>
              <w:rPr>
                <w:rFonts w:ascii="宋体" w:hAnsi="宋体" w:eastAsia="宋体" w:cs="Times New Roman"/>
                <w:b/>
                <w:kern w:val="0"/>
                <w:sz w:val="24"/>
              </w:rPr>
            </w:pPr>
          </w:p>
        </w:tc>
        <w:tc>
          <w:tcPr>
            <w:tcW w:w="1275" w:type="dxa"/>
            <w:vAlign w:val="center"/>
          </w:tcPr>
          <w:p>
            <w:pPr>
              <w:spacing w:line="440" w:lineRule="exact"/>
              <w:rPr>
                <w:rFonts w:ascii="宋体" w:hAnsi="宋体" w:eastAsia="宋体" w:cs="Times New Roman"/>
                <w:sz w:val="24"/>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440" w:lineRule="exact"/>
              <w:rPr>
                <w:rFonts w:ascii="宋体" w:hAnsi="宋体" w:eastAsia="宋体" w:cs="Times New Roman"/>
                <w:sz w:val="24"/>
              </w:rPr>
            </w:pPr>
            <w:r>
              <w:rPr>
                <w:rFonts w:hint="eastAsia" w:ascii="宋体" w:hAnsi="宋体" w:eastAsia="宋体" w:cs="Times New Roman"/>
                <w:b/>
                <w:sz w:val="24"/>
              </w:rPr>
              <w:t xml:space="preserve">总价（人民币大写）：                     </w:t>
            </w:r>
            <w:r>
              <w:rPr>
                <w:rFonts w:hint="eastAsia" w:ascii="宋体" w:hAnsi="宋体" w:eastAsia="宋体" w:cs="Times New Roman"/>
                <w:sz w:val="24"/>
              </w:rPr>
              <w:t>合计（小写）：</w:t>
            </w:r>
          </w:p>
          <w:p>
            <w:pPr>
              <w:spacing w:line="440" w:lineRule="exact"/>
              <w:rPr>
                <w:rFonts w:ascii="宋体" w:hAnsi="宋体" w:eastAsia="宋体" w:cs="Times New Roman"/>
                <w:sz w:val="24"/>
              </w:rPr>
            </w:pPr>
            <w:r>
              <w:rPr>
                <w:rFonts w:hint="eastAsia" w:ascii="宋体" w:hAnsi="宋体" w:eastAsia="宋体" w:cs="Times New Roman"/>
                <w:sz w:val="24"/>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eastAsia="宋体" w:cs="宋体"/>
          <w:sz w:val="24"/>
        </w:rPr>
      </w:pPr>
      <w:r>
        <w:rPr>
          <w:rFonts w:hint="eastAsia" w:ascii="宋体" w:hAnsi="宋体" w:eastAsia="宋体" w:cs="宋体"/>
          <w:sz w:val="24"/>
        </w:rPr>
        <w:t>三、交货地点：由乙方负责运输，送至甲方指定校区，并搬运到指定楼层的房间内。</w:t>
      </w:r>
    </w:p>
    <w:p>
      <w:pPr>
        <w:widowControl/>
        <w:snapToGrid w:val="0"/>
        <w:spacing w:line="340" w:lineRule="exact"/>
        <w:rPr>
          <w:rFonts w:ascii="宋体" w:hAnsi="宋体" w:eastAsia="宋体" w:cs="宋体"/>
          <w:sz w:val="24"/>
        </w:rPr>
      </w:pPr>
      <w:r>
        <w:rPr>
          <w:rFonts w:hint="eastAsia" w:ascii="宋体" w:hAnsi="宋体" w:eastAsia="宋体" w:cs="宋体"/>
          <w:sz w:val="24"/>
        </w:rPr>
        <w:t>四、付款方式：本采购项目无预付款，调试结束，经甲乙双方共同验收，合格后，付至合同总额的</w:t>
      </w:r>
      <w:r>
        <w:rPr>
          <w:rFonts w:ascii="宋体" w:hAnsi="宋体" w:eastAsia="宋体" w:cs="宋体"/>
          <w:sz w:val="24"/>
        </w:rPr>
        <w:t>9</w:t>
      </w:r>
      <w:r>
        <w:rPr>
          <w:rFonts w:hint="eastAsia" w:ascii="宋体" w:hAnsi="宋体" w:eastAsia="宋体" w:cs="宋体"/>
          <w:sz w:val="24"/>
        </w:rPr>
        <w:t>0</w:t>
      </w:r>
      <w:r>
        <w:rPr>
          <w:rFonts w:ascii="宋体" w:hAnsi="宋体" w:eastAsia="宋体" w:cs="宋体"/>
          <w:sz w:val="24"/>
        </w:rPr>
        <w:t>%</w:t>
      </w:r>
      <w:r>
        <w:rPr>
          <w:rFonts w:hint="eastAsia" w:ascii="宋体" w:hAnsi="宋体" w:eastAsia="宋体" w:cs="宋体"/>
          <w:sz w:val="24"/>
        </w:rPr>
        <w:t>；壹年后无质量问题，余款无息结清。甲方付款前乙方需提供合法、有效、等额的增值税专用发票，并在发票备注栏注明“教学用”字样，否则，甲方有权拒付相应款项。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eastAsia="宋体" w:cs="宋体"/>
          <w:sz w:val="24"/>
        </w:rPr>
      </w:pPr>
      <w:r>
        <w:rPr>
          <w:rFonts w:hint="eastAsia" w:ascii="宋体" w:hAnsi="宋体" w:eastAsia="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eastAsia="宋体" w:cs="宋体"/>
          <w:sz w:val="24"/>
        </w:rPr>
      </w:pPr>
      <w:r>
        <w:rPr>
          <w:rFonts w:hint="eastAsia" w:ascii="宋体" w:hAnsi="宋体" w:eastAsia="宋体" w:cs="宋体"/>
          <w:sz w:val="24"/>
        </w:rPr>
        <w:t>六、质量要求、技术标准、乙方对质量负责的条件和期限：</w:t>
      </w:r>
    </w:p>
    <w:p>
      <w:pPr>
        <w:widowControl/>
        <w:snapToGrid w:val="0"/>
        <w:spacing w:line="340" w:lineRule="exact"/>
        <w:rPr>
          <w:rFonts w:ascii="宋体" w:hAnsi="宋体" w:eastAsia="宋体" w:cs="宋体"/>
          <w:sz w:val="24"/>
        </w:rPr>
      </w:pPr>
      <w:r>
        <w:rPr>
          <w:rFonts w:hint="eastAsia" w:ascii="宋体" w:hAnsi="宋体" w:eastAsia="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eastAsia="宋体" w:cs="宋体"/>
          <w:sz w:val="24"/>
        </w:rPr>
      </w:pPr>
      <w:r>
        <w:rPr>
          <w:rFonts w:hint="eastAsia" w:ascii="宋体" w:hAnsi="宋体" w:eastAsia="宋体" w:cs="宋体"/>
          <w:sz w:val="24"/>
        </w:rPr>
        <w:t>2、乙方应保证货物是全新、未使用过的原装合格正品，并完全符合生产企业或国家规定的质量、规格和性能的要求及招标书要求、谈判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eastAsia="宋体" w:cs="宋体"/>
          <w:sz w:val="24"/>
        </w:rPr>
      </w:pPr>
      <w:r>
        <w:rPr>
          <w:rFonts w:hint="eastAsia" w:ascii="宋体" w:hAnsi="宋体" w:eastAsia="宋体" w:cs="宋体"/>
          <w:sz w:val="24"/>
        </w:rPr>
        <w:t>七、验收标准：甲方应当在到货且安装调试完成后_</w:t>
      </w:r>
      <w:r>
        <w:rPr>
          <w:rFonts w:hint="eastAsia" w:ascii="宋体" w:hAnsi="宋体" w:eastAsia="宋体" w:cs="宋体"/>
          <w:sz w:val="24"/>
          <w:u w:val="single"/>
        </w:rPr>
        <w:t>10</w:t>
      </w:r>
      <w:r>
        <w:rPr>
          <w:rFonts w:hint="eastAsia" w:ascii="宋体" w:hAnsi="宋体" w:eastAsia="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eastAsia="宋体" w:cs="宋体"/>
          <w:sz w:val="24"/>
        </w:rPr>
      </w:pPr>
      <w:r>
        <w:rPr>
          <w:rFonts w:hint="eastAsia" w:ascii="宋体" w:hAnsi="宋体" w:eastAsia="宋体" w:cs="宋体"/>
          <w:sz w:val="24"/>
        </w:rPr>
        <w:t>八、 工程部分（两万元以上）需按南京邮电大学审计相关规定执行。</w:t>
      </w:r>
    </w:p>
    <w:p>
      <w:pPr>
        <w:widowControl/>
        <w:snapToGrid w:val="0"/>
        <w:spacing w:line="340" w:lineRule="exact"/>
        <w:rPr>
          <w:rFonts w:ascii="宋体" w:hAnsi="宋体" w:eastAsia="宋体" w:cs="宋体"/>
          <w:sz w:val="24"/>
        </w:rPr>
      </w:pPr>
      <w:r>
        <w:rPr>
          <w:rFonts w:hint="eastAsia" w:ascii="宋体" w:hAnsi="宋体" w:eastAsia="宋体" w:cs="宋体"/>
          <w:sz w:val="24"/>
        </w:rPr>
        <w:t>九、招谈判文件为本合同的附件，与本合同具有同等法律效力（本条款适用于招谈判项目）。甲乙双方商定的其他必要文件，附件与本合同不相符合之处，以本合同内容为准。上述文件内容互为补充。</w:t>
      </w:r>
    </w:p>
    <w:p>
      <w:pPr>
        <w:widowControl/>
        <w:snapToGrid w:val="0"/>
        <w:spacing w:line="340" w:lineRule="exact"/>
        <w:rPr>
          <w:rFonts w:ascii="宋体" w:hAnsi="宋体" w:eastAsia="宋体" w:cs="宋体"/>
          <w:sz w:val="24"/>
        </w:rPr>
      </w:pPr>
      <w:r>
        <w:rPr>
          <w:rFonts w:hint="eastAsia" w:ascii="宋体" w:hAnsi="宋体" w:eastAsia="宋体" w:cs="宋体"/>
          <w:sz w:val="24"/>
        </w:rPr>
        <w:t>十、违约责任</w:t>
      </w:r>
    </w:p>
    <w:p>
      <w:pPr>
        <w:widowControl/>
        <w:snapToGrid w:val="0"/>
        <w:spacing w:line="340" w:lineRule="exact"/>
        <w:rPr>
          <w:rFonts w:ascii="宋体" w:hAnsi="宋体" w:eastAsia="宋体" w:cs="宋体"/>
          <w:sz w:val="24"/>
        </w:rPr>
      </w:pPr>
      <w:r>
        <w:rPr>
          <w:rFonts w:hint="eastAsia" w:ascii="宋体" w:hAnsi="宋体" w:eastAsia="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eastAsia="宋体" w:cs="宋体"/>
          <w:sz w:val="24"/>
        </w:rPr>
      </w:pPr>
      <w:r>
        <w:rPr>
          <w:rFonts w:hint="eastAsia" w:ascii="宋体" w:hAnsi="宋体" w:eastAsia="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eastAsia="宋体" w:cs="宋体"/>
          <w:sz w:val="24"/>
        </w:rPr>
      </w:pPr>
      <w:r>
        <w:rPr>
          <w:rFonts w:hint="eastAsia" w:ascii="宋体" w:hAnsi="宋体" w:eastAsia="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eastAsia="宋体" w:cs="宋体"/>
          <w:sz w:val="24"/>
        </w:rPr>
      </w:pPr>
      <w:r>
        <w:rPr>
          <w:rFonts w:hint="eastAsia" w:ascii="宋体" w:hAnsi="宋体" w:eastAsia="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eastAsia="宋体" w:cs="宋体"/>
          <w:sz w:val="24"/>
        </w:rPr>
      </w:pPr>
      <w:r>
        <w:rPr>
          <w:rFonts w:hint="eastAsia" w:ascii="宋体" w:hAnsi="宋体" w:eastAsia="宋体" w:cs="宋体"/>
          <w:sz w:val="24"/>
        </w:rPr>
        <w:t>十一、 合同的变更和终止</w:t>
      </w:r>
    </w:p>
    <w:p>
      <w:pPr>
        <w:widowControl/>
        <w:snapToGrid w:val="0"/>
        <w:spacing w:line="340" w:lineRule="exact"/>
        <w:rPr>
          <w:rFonts w:ascii="宋体" w:hAnsi="宋体" w:eastAsia="宋体" w:cs="宋体"/>
          <w:sz w:val="24"/>
        </w:rPr>
      </w:pPr>
      <w:r>
        <w:rPr>
          <w:rFonts w:hint="eastAsia" w:ascii="宋体" w:hAnsi="宋体" w:eastAsia="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eastAsia="宋体" w:cs="宋体"/>
          <w:sz w:val="24"/>
        </w:rPr>
      </w:pPr>
      <w:r>
        <w:rPr>
          <w:rFonts w:hint="eastAsia" w:ascii="宋体" w:hAnsi="宋体" w:eastAsia="宋体" w:cs="宋体"/>
          <w:sz w:val="24"/>
        </w:rPr>
        <w:t>十二、合同的转让</w:t>
      </w:r>
    </w:p>
    <w:p>
      <w:pPr>
        <w:widowControl/>
        <w:snapToGrid w:val="0"/>
        <w:spacing w:line="340" w:lineRule="exact"/>
        <w:rPr>
          <w:rFonts w:ascii="宋体" w:hAnsi="宋体" w:eastAsia="宋体" w:cs="宋体"/>
          <w:sz w:val="24"/>
        </w:rPr>
      </w:pPr>
      <w:r>
        <w:rPr>
          <w:rFonts w:hint="eastAsia" w:ascii="宋体" w:hAnsi="宋体" w:eastAsia="宋体" w:cs="宋体"/>
          <w:sz w:val="24"/>
        </w:rPr>
        <w:t>乙方不得擅自部分或全部转让其应履行的合同义务。</w:t>
      </w:r>
    </w:p>
    <w:p>
      <w:pPr>
        <w:widowControl/>
        <w:snapToGrid w:val="0"/>
        <w:spacing w:line="340" w:lineRule="exact"/>
        <w:rPr>
          <w:rFonts w:ascii="宋体" w:hAnsi="宋体" w:eastAsia="宋体" w:cs="宋体"/>
          <w:sz w:val="24"/>
        </w:rPr>
      </w:pPr>
      <w:r>
        <w:rPr>
          <w:rFonts w:hint="eastAsia" w:ascii="宋体" w:hAnsi="宋体" w:eastAsia="宋体" w:cs="宋体"/>
          <w:sz w:val="24"/>
        </w:rPr>
        <w:t>十三、 争议的解决</w:t>
      </w:r>
    </w:p>
    <w:p>
      <w:pPr>
        <w:widowControl/>
        <w:snapToGrid w:val="0"/>
        <w:spacing w:line="340" w:lineRule="exact"/>
        <w:rPr>
          <w:rFonts w:ascii="宋体" w:hAnsi="宋体" w:eastAsia="宋体" w:cs="宋体"/>
          <w:sz w:val="24"/>
        </w:rPr>
      </w:pPr>
      <w:r>
        <w:rPr>
          <w:rFonts w:hint="eastAsia" w:ascii="宋体" w:hAnsi="宋体" w:eastAsia="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eastAsia="宋体" w:cs="宋体"/>
          <w:sz w:val="24"/>
        </w:rPr>
      </w:pPr>
      <w:r>
        <w:rPr>
          <w:rFonts w:hint="eastAsia" w:ascii="宋体" w:hAnsi="宋体" w:eastAsia="宋体" w:cs="宋体"/>
          <w:sz w:val="24"/>
        </w:rPr>
        <w:t>十四、本合同由甲、乙双方共同签订，合同一式陆份，甲方伍份、乙方壹份。自双方签字、盖章之日起生效。</w:t>
      </w:r>
    </w:p>
    <w:p>
      <w:pPr>
        <w:widowControl/>
        <w:snapToGrid w:val="0"/>
        <w:spacing w:line="440" w:lineRule="exact"/>
        <w:rPr>
          <w:rFonts w:ascii="宋体" w:hAnsi="宋体" w:eastAsia="宋体" w:cs="Times New Roman"/>
          <w:sz w:val="24"/>
        </w:rPr>
      </w:pPr>
    </w:p>
    <w:p>
      <w:pPr>
        <w:widowControl/>
        <w:snapToGrid w:val="0"/>
        <w:spacing w:line="440" w:lineRule="exact"/>
        <w:rPr>
          <w:rFonts w:ascii="宋体" w:hAnsi="宋体" w:eastAsia="宋体" w:cs="Times New Roman"/>
          <w:sz w:val="24"/>
        </w:rPr>
      </w:pPr>
      <w:bookmarkStart w:id="5" w:name="_Hlt16619369"/>
      <w:bookmarkEnd w:id="5"/>
      <w:r>
        <w:rPr>
          <w:rFonts w:hint="eastAsia" w:ascii="宋体" w:hAnsi="宋体" w:eastAsia="宋体" w:cs="Times New Roman"/>
          <w:sz w:val="24"/>
        </w:rPr>
        <w:t>甲方                                         乙方</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单位名称：南京邮电大学通达学院             单位名称：</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法定代表人：                               法定代表人：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委托代理人（签字）：                       委托代理人（签字）：</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联系电话：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开户银行：交行扬州分行营业部               开户银行：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户名：南京邮电大学通达学院                 户名：</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账号：</w:t>
      </w:r>
      <w:r>
        <w:rPr>
          <w:rFonts w:ascii="宋体" w:hAnsi="宋体" w:eastAsia="宋体" w:cs="Times New Roman"/>
          <w:sz w:val="24"/>
        </w:rPr>
        <w:t>395067000018150146636</w:t>
      </w:r>
      <w:r>
        <w:rPr>
          <w:rFonts w:hint="eastAsia" w:ascii="宋体" w:hAnsi="宋体" w:eastAsia="宋体" w:cs="Times New Roman"/>
          <w:sz w:val="24"/>
        </w:rPr>
        <w:t xml:space="preserve">                账号：</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税号：</w:t>
      </w:r>
      <w:r>
        <w:rPr>
          <w:rFonts w:ascii="宋体" w:hAnsi="宋体" w:eastAsia="宋体" w:cs="Times New Roman"/>
          <w:sz w:val="24"/>
        </w:rPr>
        <w:t>52320000509200179F</w:t>
      </w:r>
      <w:r>
        <w:rPr>
          <w:rFonts w:hint="eastAsia" w:ascii="宋体" w:hAnsi="宋体" w:eastAsia="宋体" w:cs="Times New Roman"/>
          <w:sz w:val="24"/>
        </w:rPr>
        <w:t xml:space="preserve">                   行号：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电话：0514-89716081                        项目联系人：</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                                           联系电话：    </w:t>
      </w:r>
    </w:p>
    <w:p>
      <w:pPr>
        <w:widowControl/>
        <w:snapToGrid w:val="0"/>
        <w:spacing w:line="440" w:lineRule="exact"/>
        <w:rPr>
          <w:rFonts w:ascii="宋体" w:hAnsi="宋体" w:eastAsia="宋体" w:cs="Times New Roman"/>
          <w:sz w:val="24"/>
        </w:rPr>
      </w:pPr>
      <w:r>
        <w:rPr>
          <w:rFonts w:hint="eastAsia" w:ascii="宋体" w:hAnsi="宋体" w:eastAsia="宋体" w:cs="Times New Roman"/>
          <w:sz w:val="24"/>
        </w:rPr>
        <w:t xml:space="preserve">签约日期（即合同生效日期）：       年      月     日      </w:t>
      </w: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第五章</w:t>
      </w:r>
      <w:r>
        <w:rPr>
          <w:rFonts w:hint="eastAsia" w:ascii="宋体" w:hAnsi="MS Mincho" w:eastAsia="MS Mincho" w:cs="MS Mincho"/>
          <w:b/>
          <w:sz w:val="36"/>
          <w:szCs w:val="36"/>
        </w:rPr>
        <w:t>  </w:t>
      </w:r>
      <w:r>
        <w:rPr>
          <w:rFonts w:hint="eastAsia" w:ascii="宋体" w:hAnsi="宋体" w:eastAsia="宋体" w:cs="宋体"/>
          <w:b/>
          <w:sz w:val="36"/>
          <w:szCs w:val="36"/>
        </w:rPr>
        <w:t>响应文件格式</w:t>
      </w:r>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谈判人名称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谈判主要文件目录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谈判函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谈判人资格证明材料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六、谈判人业绩情况</w:t>
      </w:r>
    </w:p>
    <w:p>
      <w:pPr>
        <w:ind w:firstLine="480" w:firstLineChars="200"/>
        <w:rPr>
          <w:rFonts w:ascii="宋体" w:hAnsi="宋体" w:cs="宋体"/>
          <w:sz w:val="24"/>
        </w:rPr>
      </w:pPr>
      <w:r>
        <w:rPr>
          <w:rFonts w:hint="eastAsia" w:ascii="宋体" w:hAnsi="宋体" w:cs="宋体"/>
          <w:sz w:val="24"/>
        </w:rPr>
        <w:t>七、谈判人其它声明及材</w:t>
      </w:r>
    </w:p>
    <w:p>
      <w:pPr>
        <w:spacing w:line="440" w:lineRule="exact"/>
        <w:rPr>
          <w:rFonts w:ascii="宋体" w:hAnsi="宋体" w:cs="宋体"/>
          <w:sz w:val="24"/>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一、谈判函格式</w:t>
      </w:r>
    </w:p>
    <w:p>
      <w:pPr>
        <w:pStyle w:val="1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（谈判人的名称），全权处理本次项目谈判的有关事宜。</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1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2.我们完全理解贵方不一定将合同授予最低报价的谈判人。</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4.我们同意从规定的开标日期起遵循本谈判文件，并在规定的谈判有效期期满之前均具有约束力。</w:t>
      </w:r>
    </w:p>
    <w:p>
      <w:pPr>
        <w:pStyle w:val="13"/>
        <w:spacing w:before="0" w:after="0" w:line="420" w:lineRule="exact"/>
        <w:rPr>
          <w:rFonts w:ascii="宋体" w:hAnsi="宋体" w:cs="宋体"/>
          <w:kern w:val="2"/>
          <w:szCs w:val="21"/>
        </w:rPr>
      </w:pPr>
      <w:r>
        <w:rPr>
          <w:rFonts w:hint="eastAsia" w:ascii="宋体" w:hAnsi="宋体" w:cs="宋体"/>
          <w:kern w:val="2"/>
          <w:szCs w:val="21"/>
        </w:rPr>
        <w:t>5.如果在开标后规定的谈判有效期内撤回谈判或中标后拒绝签订合同，我们的谈判保证金可被贵方没收。</w:t>
      </w:r>
    </w:p>
    <w:p>
      <w:pPr>
        <w:pStyle w:val="13"/>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6.同意向贵方提供贵方可能另外要求的与谈判有关的任何证据或资料，并保证我方已提供和将要提供的文件是真实的、准确的。</w:t>
      </w:r>
    </w:p>
    <w:p>
      <w:pPr>
        <w:pStyle w:val="13"/>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13"/>
        <w:spacing w:before="0" w:after="0" w:line="420" w:lineRule="exact"/>
        <w:ind w:firstLineChars="200"/>
        <w:rPr>
          <w:rFonts w:ascii="宋体" w:hAnsi="宋体" w:cs="宋体"/>
          <w:kern w:val="2"/>
          <w:szCs w:val="21"/>
        </w:rPr>
      </w:pPr>
      <w:r>
        <w:rPr>
          <w:rFonts w:hint="eastAsia" w:ascii="宋体" w:hAnsi="宋体" w:cs="宋体"/>
          <w:kern w:val="2"/>
          <w:szCs w:val="21"/>
        </w:rPr>
        <w:t>9.与本谈判有关的正式通讯地址为：</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谈判人开户行：</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谈判人授权代表姓名（签字）：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谈判人名称（公章）： </w:t>
      </w:r>
    </w:p>
    <w:p>
      <w:pPr>
        <w:pStyle w:val="1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56"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6" w:name="_Toc462564147"/>
      <w:bookmarkStart w:id="7" w:name="_Toc120614284"/>
      <w:r>
        <w:rPr>
          <w:rFonts w:hint="eastAsia" w:ascii="宋体" w:hAnsi="宋体" w:cs="宋体"/>
          <w:b/>
          <w:sz w:val="32"/>
          <w:szCs w:val="32"/>
        </w:rPr>
        <w:t>二、谈判人资质、业绩审核索引表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谈判人若非生产者，须提供生产者或其驻中国办事机构（或生产者授权的中国境内最高级别代理机构）针对本项目的专项授权书原件(加盖公章)或谈判人取得的产品代理证书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企业基本情况（经营规模、经营状况及行业优势）简介及谈判人认为有必要提供的其它文件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156"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156" w:afterLines="50"/>
        <w:jc w:val="center"/>
        <w:rPr>
          <w:rFonts w:ascii="宋体" w:hAnsi="宋体" w:cs="宋体"/>
          <w:b/>
          <w:sz w:val="32"/>
          <w:szCs w:val="32"/>
        </w:rPr>
      </w:pPr>
      <w:r>
        <w:rPr>
          <w:rFonts w:hint="eastAsia" w:ascii="宋体" w:hAnsi="宋体" w:cs="宋体"/>
          <w:b/>
          <w:sz w:val="32"/>
          <w:szCs w:val="32"/>
        </w:rPr>
        <w:t>三、法人授权书格式</w:t>
      </w:r>
    </w:p>
    <w:p>
      <w:pPr>
        <w:pStyle w:val="2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1"/>
        <w:rPr>
          <w:rFonts w:ascii="宋体" w:hAnsi="宋体" w:cs="宋体"/>
        </w:rPr>
      </w:pPr>
    </w:p>
    <w:p>
      <w:pPr>
        <w:pStyle w:val="4"/>
        <w:jc w:val="center"/>
        <w:rPr>
          <w:rFonts w:ascii="宋体" w:hAnsi="宋体" w:cs="宋体"/>
          <w:bCs w:val="0"/>
        </w:rPr>
      </w:pPr>
      <w:r>
        <w:rPr>
          <w:rFonts w:hint="eastAsia" w:ascii="宋体" w:hAnsi="宋体" w:cs="宋体"/>
        </w:rPr>
        <w:br w:type="page"/>
      </w:r>
      <w:bookmarkEnd w:id="6"/>
      <w:bookmarkStart w:id="8" w:name="_Hlt26955070"/>
      <w:bookmarkEnd w:id="8"/>
      <w:bookmarkStart w:id="9" w:name="_格式3__银行出具的资信证明"/>
      <w:bookmarkEnd w:id="9"/>
      <w:bookmarkStart w:id="10" w:name="_Hlt26671380"/>
      <w:bookmarkEnd w:id="10"/>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谈判人全称（公章):                       项目名称：</w:t>
      </w:r>
    </w:p>
    <w:tbl>
      <w:tblPr>
        <w:tblStyle w:val="10"/>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56" w:beforeLines="50" w:after="312" w:afterLines="100"/>
        <w:jc w:val="left"/>
        <w:rPr>
          <w:rFonts w:ascii="宋体" w:hAnsi="宋体" w:cs="宋体"/>
          <w:sz w:val="24"/>
        </w:rPr>
      </w:pPr>
      <w:r>
        <w:rPr>
          <w:rFonts w:hint="eastAsia" w:ascii="宋体" w:hAnsi="宋体" w:cs="宋体"/>
          <w:sz w:val="24"/>
        </w:rPr>
        <w:t>谈判人全称（公章):                       项目名称：</w:t>
      </w:r>
    </w:p>
    <w:tbl>
      <w:tblPr>
        <w:tblStyle w:val="10"/>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156" w:beforeLines="50" w:after="156" w:afterLines="50"/>
        <w:jc w:val="center"/>
        <w:rPr>
          <w:rFonts w:ascii="宋体" w:hAnsi="宋体" w:cs="宋体"/>
          <w:b/>
          <w:sz w:val="32"/>
          <w:szCs w:val="32"/>
        </w:rPr>
      </w:pPr>
      <w:r>
        <w:rPr>
          <w:rFonts w:hint="eastAsia" w:ascii="宋体" w:hAnsi="宋体" w:cs="宋体"/>
          <w:b/>
          <w:sz w:val="36"/>
        </w:rPr>
        <w:br w:type="page"/>
      </w:r>
      <w:bookmarkEnd w:id="7"/>
      <w:bookmarkStart w:id="11" w:name="_Hlt26955054"/>
      <w:bookmarkEnd w:id="11"/>
      <w:r>
        <w:rPr>
          <w:rFonts w:hint="eastAsia" w:ascii="宋体" w:hAnsi="宋体" w:cs="宋体"/>
          <w:b/>
          <w:sz w:val="32"/>
          <w:szCs w:val="32"/>
        </w:rPr>
        <w:t>六、</w:t>
      </w:r>
      <w:bookmarkStart w:id="12" w:name="_格式2__法定代表人授权书"/>
      <w:bookmarkEnd w:id="12"/>
      <w:bookmarkStart w:id="13" w:name="_Toc513029276"/>
      <w:bookmarkStart w:id="14" w:name="_Toc460901585"/>
      <w:bookmarkStart w:id="15" w:name="_Toc120614283"/>
      <w:bookmarkStart w:id="16" w:name="_Toc22356580"/>
      <w:bookmarkStart w:id="17" w:name="_Toc49090577"/>
      <w:bookmarkStart w:id="18" w:name="_Toc26554095"/>
      <w:bookmarkStart w:id="19"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谈判人全称（公章):                       项目名称：</w:t>
      </w:r>
    </w:p>
    <w:tbl>
      <w:tblPr>
        <w:tblStyle w:val="10"/>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序号</w:t>
            </w:r>
          </w:p>
        </w:tc>
        <w:tc>
          <w:tcPr>
            <w:tcW w:w="2976" w:type="dxa"/>
            <w:vAlign w:val="center"/>
          </w:tcPr>
          <w:p>
            <w:pPr>
              <w:pStyle w:val="20"/>
              <w:ind w:left="420"/>
              <w:jc w:val="center"/>
              <w:rPr>
                <w:rFonts w:hAnsi="宋体"/>
                <w:color w:val="auto"/>
              </w:rPr>
            </w:pPr>
            <w:r>
              <w:rPr>
                <w:rFonts w:hint="eastAsia" w:hAnsi="宋体"/>
                <w:color w:val="auto"/>
              </w:rPr>
              <w:t>项目</w:t>
            </w:r>
          </w:p>
        </w:tc>
        <w:tc>
          <w:tcPr>
            <w:tcW w:w="1985" w:type="dxa"/>
            <w:vAlign w:val="center"/>
          </w:tcPr>
          <w:p>
            <w:pPr>
              <w:pStyle w:val="20"/>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0"/>
              <w:ind w:left="420"/>
              <w:jc w:val="center"/>
              <w:rPr>
                <w:rFonts w:hAnsi="宋体"/>
                <w:color w:val="auto"/>
              </w:rPr>
            </w:pPr>
            <w:r>
              <w:rPr>
                <w:rFonts w:hint="eastAsia" w:hAnsi="宋体"/>
                <w:color w:val="auto"/>
              </w:rPr>
              <w:t>谈判供应商的承诺或说明</w:t>
            </w:r>
          </w:p>
        </w:tc>
        <w:tc>
          <w:tcPr>
            <w:tcW w:w="1687" w:type="dxa"/>
            <w:vAlign w:val="center"/>
          </w:tcPr>
          <w:p>
            <w:pPr>
              <w:pStyle w:val="20"/>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1</w:t>
            </w:r>
          </w:p>
        </w:tc>
        <w:tc>
          <w:tcPr>
            <w:tcW w:w="2976" w:type="dxa"/>
            <w:vAlign w:val="center"/>
          </w:tcPr>
          <w:p>
            <w:pPr>
              <w:pStyle w:val="20"/>
              <w:ind w:left="420"/>
              <w:jc w:val="center"/>
              <w:rPr>
                <w:rFonts w:hAnsi="宋体"/>
                <w:color w:val="auto"/>
              </w:rPr>
            </w:pPr>
            <w:r>
              <w:rPr>
                <w:rFonts w:hint="eastAsia" w:hAnsi="宋体"/>
                <w:color w:val="auto"/>
              </w:rPr>
              <w:t>质保期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2</w:t>
            </w:r>
          </w:p>
        </w:tc>
        <w:tc>
          <w:tcPr>
            <w:tcW w:w="2976" w:type="dxa"/>
            <w:vAlign w:val="center"/>
          </w:tcPr>
          <w:p>
            <w:pPr>
              <w:pStyle w:val="20"/>
              <w:ind w:left="420"/>
              <w:jc w:val="center"/>
              <w:rPr>
                <w:rFonts w:hAnsi="宋体"/>
                <w:color w:val="auto"/>
              </w:rPr>
            </w:pPr>
            <w:r>
              <w:rPr>
                <w:rFonts w:hint="eastAsia" w:hAnsi="宋体"/>
                <w:color w:val="auto"/>
              </w:rPr>
              <w:t>售后技术服务要求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3</w:t>
            </w:r>
          </w:p>
        </w:tc>
        <w:tc>
          <w:tcPr>
            <w:tcW w:w="2976" w:type="dxa"/>
            <w:vAlign w:val="center"/>
          </w:tcPr>
          <w:p>
            <w:pPr>
              <w:pStyle w:val="20"/>
              <w:ind w:left="420"/>
              <w:jc w:val="center"/>
              <w:rPr>
                <w:rFonts w:hAnsi="宋体"/>
                <w:color w:val="auto"/>
              </w:rPr>
            </w:pPr>
            <w:r>
              <w:rPr>
                <w:rFonts w:hint="eastAsia" w:hAnsi="宋体"/>
                <w:color w:val="auto"/>
              </w:rPr>
              <w:t>供货期</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4</w:t>
            </w:r>
          </w:p>
        </w:tc>
        <w:tc>
          <w:tcPr>
            <w:tcW w:w="2976" w:type="dxa"/>
            <w:vAlign w:val="center"/>
          </w:tcPr>
          <w:p>
            <w:pPr>
              <w:pStyle w:val="20"/>
              <w:ind w:left="420"/>
              <w:jc w:val="center"/>
              <w:rPr>
                <w:rFonts w:hAnsi="宋体"/>
                <w:color w:val="auto"/>
              </w:rPr>
            </w:pPr>
            <w:r>
              <w:rPr>
                <w:rFonts w:hint="eastAsia" w:hAnsi="宋体"/>
                <w:color w:val="auto"/>
              </w:rPr>
              <w:t>交货方式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5</w:t>
            </w:r>
          </w:p>
        </w:tc>
        <w:tc>
          <w:tcPr>
            <w:tcW w:w="2976" w:type="dxa"/>
            <w:vAlign w:val="center"/>
          </w:tcPr>
          <w:p>
            <w:pPr>
              <w:pStyle w:val="20"/>
              <w:ind w:left="420"/>
              <w:jc w:val="center"/>
              <w:rPr>
                <w:rFonts w:hAnsi="宋体"/>
                <w:color w:val="auto"/>
              </w:rPr>
            </w:pPr>
            <w:r>
              <w:rPr>
                <w:rFonts w:hint="eastAsia" w:hAnsi="宋体"/>
                <w:color w:val="auto"/>
              </w:rPr>
              <w:t>付款方式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6</w:t>
            </w:r>
          </w:p>
        </w:tc>
        <w:tc>
          <w:tcPr>
            <w:tcW w:w="2976" w:type="dxa"/>
            <w:vAlign w:val="center"/>
          </w:tcPr>
          <w:p>
            <w:pPr>
              <w:pStyle w:val="20"/>
              <w:ind w:left="420"/>
              <w:jc w:val="center"/>
              <w:rPr>
                <w:rFonts w:hAnsi="宋体"/>
                <w:color w:val="auto"/>
              </w:rPr>
            </w:pPr>
            <w:r>
              <w:rPr>
                <w:rFonts w:hint="eastAsia" w:hAnsi="宋体"/>
                <w:color w:val="auto"/>
              </w:rPr>
              <w:t>谈判货币</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0"/>
              <w:ind w:left="420"/>
              <w:jc w:val="center"/>
              <w:rPr>
                <w:rFonts w:hAnsi="宋体"/>
                <w:color w:val="auto"/>
              </w:rPr>
            </w:pPr>
            <w:r>
              <w:rPr>
                <w:rFonts w:hint="eastAsia" w:hAnsi="宋体"/>
                <w:color w:val="auto"/>
              </w:rPr>
              <w:t>7</w:t>
            </w:r>
          </w:p>
        </w:tc>
        <w:tc>
          <w:tcPr>
            <w:tcW w:w="2976" w:type="dxa"/>
            <w:vAlign w:val="center"/>
          </w:tcPr>
          <w:p>
            <w:pPr>
              <w:pStyle w:val="20"/>
              <w:ind w:left="420"/>
              <w:jc w:val="center"/>
              <w:rPr>
                <w:rFonts w:hAnsi="宋体"/>
                <w:color w:val="auto"/>
              </w:rPr>
            </w:pPr>
            <w:r>
              <w:rPr>
                <w:rFonts w:hint="eastAsia" w:hAnsi="宋体"/>
                <w:color w:val="auto"/>
              </w:rPr>
              <w:t>备品备件及耗材等要求</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r>
              <w:rPr>
                <w:rFonts w:hint="eastAsia" w:hAnsi="宋体"/>
                <w:color w:val="auto"/>
              </w:rPr>
              <w:t>8</w:t>
            </w:r>
          </w:p>
        </w:tc>
        <w:tc>
          <w:tcPr>
            <w:tcW w:w="2976" w:type="dxa"/>
            <w:vAlign w:val="center"/>
          </w:tcPr>
          <w:p>
            <w:pPr>
              <w:pStyle w:val="20"/>
              <w:ind w:left="420"/>
              <w:jc w:val="center"/>
              <w:rPr>
                <w:rFonts w:hAnsi="宋体"/>
                <w:color w:val="auto"/>
              </w:rPr>
            </w:pPr>
            <w:r>
              <w:rPr>
                <w:rFonts w:hint="eastAsia" w:hAnsi="宋体"/>
                <w:color w:val="auto"/>
              </w:rPr>
              <w:t>培训方式</w:t>
            </w: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0"/>
              <w:ind w:left="420"/>
              <w:jc w:val="center"/>
              <w:rPr>
                <w:rFonts w:hAnsi="宋体"/>
                <w:color w:val="auto"/>
              </w:rPr>
            </w:pPr>
          </w:p>
        </w:tc>
        <w:tc>
          <w:tcPr>
            <w:tcW w:w="2976" w:type="dxa"/>
            <w:vAlign w:val="center"/>
          </w:tcPr>
          <w:p>
            <w:pPr>
              <w:pStyle w:val="20"/>
              <w:ind w:left="420"/>
              <w:jc w:val="center"/>
              <w:rPr>
                <w:rFonts w:hAnsi="宋体"/>
                <w:color w:val="auto"/>
              </w:rPr>
            </w:pPr>
          </w:p>
        </w:tc>
        <w:tc>
          <w:tcPr>
            <w:tcW w:w="1985" w:type="dxa"/>
            <w:vAlign w:val="center"/>
          </w:tcPr>
          <w:p>
            <w:pPr>
              <w:pStyle w:val="20"/>
              <w:ind w:left="420"/>
              <w:jc w:val="center"/>
              <w:rPr>
                <w:rFonts w:hAnsi="宋体"/>
                <w:color w:val="auto"/>
              </w:rPr>
            </w:pPr>
          </w:p>
        </w:tc>
        <w:tc>
          <w:tcPr>
            <w:tcW w:w="1843" w:type="dxa"/>
            <w:vAlign w:val="center"/>
          </w:tcPr>
          <w:p>
            <w:pPr>
              <w:pStyle w:val="20"/>
              <w:ind w:left="420"/>
              <w:jc w:val="center"/>
              <w:rPr>
                <w:rFonts w:hAnsi="宋体"/>
                <w:color w:val="auto"/>
              </w:rPr>
            </w:pPr>
          </w:p>
        </w:tc>
        <w:tc>
          <w:tcPr>
            <w:tcW w:w="1687" w:type="dxa"/>
            <w:vAlign w:val="center"/>
          </w:tcPr>
          <w:p>
            <w:pPr>
              <w:pStyle w:val="20"/>
              <w:ind w:left="420"/>
              <w:jc w:val="center"/>
              <w:rPr>
                <w:rFonts w:hAnsi="宋体"/>
                <w:color w:val="auto"/>
              </w:rPr>
            </w:pPr>
          </w:p>
        </w:tc>
      </w:tr>
    </w:tbl>
    <w:p>
      <w:pPr>
        <w:pStyle w:val="20"/>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0"/>
        <w:spacing w:line="360" w:lineRule="exact"/>
        <w:ind w:left="420"/>
        <w:rPr>
          <w:rFonts w:hAnsi="宋体"/>
          <w:color w:val="auto"/>
        </w:rPr>
      </w:pPr>
      <w:r>
        <w:rPr>
          <w:rFonts w:hint="eastAsia" w:hAnsi="宋体"/>
          <w:color w:val="auto"/>
        </w:rPr>
        <w:t>注：</w:t>
      </w:r>
    </w:p>
    <w:p>
      <w:pPr>
        <w:pStyle w:val="20"/>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0"/>
        <w:spacing w:line="360" w:lineRule="exact"/>
        <w:ind w:left="420" w:firstLine="480" w:firstLineChars="200"/>
        <w:rPr>
          <w:rFonts w:hAnsi="宋体"/>
          <w:color w:val="auto"/>
        </w:rPr>
      </w:pPr>
      <w:r>
        <w:rPr>
          <w:rFonts w:hint="eastAsia" w:hAnsi="宋体"/>
          <w:color w:val="auto"/>
        </w:rPr>
        <w:t>2、谈判单位根据项目添加的服务承诺、培训等也请列出；</w:t>
      </w:r>
    </w:p>
    <w:p>
      <w:pPr>
        <w:pStyle w:val="20"/>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0"/>
        <w:spacing w:line="360" w:lineRule="exact"/>
        <w:ind w:left="420" w:firstLine="480" w:firstLineChars="200"/>
        <w:rPr>
          <w:rFonts w:hAnsi="宋体"/>
          <w:color w:val="auto"/>
        </w:rPr>
      </w:pPr>
      <w:r>
        <w:rPr>
          <w:rFonts w:hint="eastAsia" w:hAnsi="宋体"/>
          <w:color w:val="auto"/>
        </w:rPr>
        <w:t>4、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3"/>
    <w:bookmarkEnd w:id="14"/>
    <w:bookmarkEnd w:id="15"/>
    <w:bookmarkEnd w:id="16"/>
    <w:bookmarkEnd w:id="17"/>
    <w:bookmarkEnd w:id="18"/>
    <w:bookmarkEnd w:id="19"/>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七、谈判人业绩情况</w:t>
      </w:r>
    </w:p>
    <w:p>
      <w:pPr>
        <w:spacing w:line="360" w:lineRule="exact"/>
        <w:ind w:firstLine="480" w:firstLineChars="200"/>
        <w:rPr>
          <w:rFonts w:ascii="宋体" w:hAnsi="宋体" w:cs="宋体"/>
          <w:sz w:val="24"/>
          <w:szCs w:val="24"/>
        </w:rPr>
      </w:pPr>
      <w:r>
        <w:rPr>
          <w:rFonts w:hint="eastAsia" w:ascii="宋体" w:hAnsi="宋体" w:cs="宋体"/>
          <w:sz w:val="24"/>
        </w:rPr>
        <w:t>谈判人近三年内业绩材料（谈判人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九、谈判人其它声明及材料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能说明谈判产品规格型号、性能参数的彩页资料（或能佐证谈判产品技术参数的其他宣传资料）</w:t>
      </w:r>
      <w:bookmarkStart w:id="20" w:name="_Hlt26955041"/>
      <w:bookmarkEnd w:id="20"/>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rPr>
          <w:rFonts w:ascii="宋体" w:hAnsi="宋体" w:eastAsia="宋体"/>
          <w:b/>
          <w:sz w:val="36"/>
          <w:szCs w:val="3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5B9"/>
    <w:rsid w:val="00024B42"/>
    <w:rsid w:val="00081B70"/>
    <w:rsid w:val="000829CD"/>
    <w:rsid w:val="000C03F8"/>
    <w:rsid w:val="000E579A"/>
    <w:rsid w:val="00140432"/>
    <w:rsid w:val="00146533"/>
    <w:rsid w:val="00190E0F"/>
    <w:rsid w:val="001B3184"/>
    <w:rsid w:val="003231DF"/>
    <w:rsid w:val="00325AF9"/>
    <w:rsid w:val="003C15B9"/>
    <w:rsid w:val="004A6CB8"/>
    <w:rsid w:val="005E1CD1"/>
    <w:rsid w:val="00624193"/>
    <w:rsid w:val="00632F41"/>
    <w:rsid w:val="0066141F"/>
    <w:rsid w:val="0067261B"/>
    <w:rsid w:val="006B0D15"/>
    <w:rsid w:val="0074164C"/>
    <w:rsid w:val="007F6C3A"/>
    <w:rsid w:val="00870348"/>
    <w:rsid w:val="009572D0"/>
    <w:rsid w:val="0099079E"/>
    <w:rsid w:val="009943BC"/>
    <w:rsid w:val="00AA1A60"/>
    <w:rsid w:val="00B047D2"/>
    <w:rsid w:val="00B41063"/>
    <w:rsid w:val="00B66E33"/>
    <w:rsid w:val="00BB2656"/>
    <w:rsid w:val="00BC6FF1"/>
    <w:rsid w:val="00C270DF"/>
    <w:rsid w:val="00C5577A"/>
    <w:rsid w:val="00C6257A"/>
    <w:rsid w:val="00D263D9"/>
    <w:rsid w:val="00D64D2C"/>
    <w:rsid w:val="00D745BC"/>
    <w:rsid w:val="00D75800"/>
    <w:rsid w:val="00D93CB0"/>
    <w:rsid w:val="00DD0B52"/>
    <w:rsid w:val="00DF4E6B"/>
    <w:rsid w:val="00E20D98"/>
    <w:rsid w:val="00EA7377"/>
    <w:rsid w:val="00F35F19"/>
    <w:rsid w:val="00F425A7"/>
    <w:rsid w:val="00F63D95"/>
    <w:rsid w:val="00F705B7"/>
    <w:rsid w:val="00FA7546"/>
    <w:rsid w:val="00FB14F7"/>
    <w:rsid w:val="00FB7F71"/>
    <w:rsid w:val="5B135295"/>
    <w:rsid w:val="65A669B4"/>
    <w:rsid w:val="67933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link w:val="16"/>
    <w:qFormat/>
    <w:uiPriority w:val="0"/>
    <w:pPr>
      <w:jc w:val="left"/>
    </w:pPr>
    <w:rPr>
      <w:rFonts w:ascii="Times New Roman" w:hAnsi="Times New Roman" w:eastAsia="宋体" w:cs="Times New Roman"/>
    </w:rPr>
  </w:style>
  <w:style w:type="paragraph" w:styleId="6">
    <w:name w:val="Plain Text"/>
    <w:basedOn w:val="1"/>
    <w:link w:val="19"/>
    <w:qFormat/>
    <w:uiPriority w:val="0"/>
    <w:rPr>
      <w:rFonts w:ascii="宋体" w:hAnsi="Courier New" w:eastAsia="宋体" w:cs="Courier New"/>
      <w:szCs w:val="21"/>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Times New Roman" w:hAnsi="Times New Roman" w:eastAsia="宋体" w:cs="黑体"/>
      <w:sz w:val="24"/>
    </w:rPr>
  </w:style>
  <w:style w:type="table" w:styleId="11">
    <w:name w:val="Table Grid"/>
    <w:basedOn w:val="10"/>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4">
    <w:name w:val="页眉 字符"/>
    <w:link w:val="8"/>
    <w:qFormat/>
    <w:uiPriority w:val="0"/>
    <w:rPr>
      <w:sz w:val="18"/>
      <w:szCs w:val="18"/>
    </w:rPr>
  </w:style>
  <w:style w:type="character" w:customStyle="1" w:styleId="15">
    <w:name w:val="页眉 Char1"/>
    <w:basedOn w:val="12"/>
    <w:semiHidden/>
    <w:uiPriority w:val="99"/>
    <w:rPr>
      <w:sz w:val="18"/>
      <w:szCs w:val="18"/>
    </w:rPr>
  </w:style>
  <w:style w:type="character" w:customStyle="1" w:styleId="16">
    <w:name w:val="批注文字 字符"/>
    <w:basedOn w:val="12"/>
    <w:link w:val="5"/>
    <w:uiPriority w:val="0"/>
    <w:rPr>
      <w:rFonts w:ascii="Times New Roman" w:hAnsi="Times New Roman" w:eastAsia="宋体" w:cs="Times New Roman"/>
    </w:rPr>
  </w:style>
  <w:style w:type="character" w:customStyle="1" w:styleId="17">
    <w:name w:val="标题 2 字符"/>
    <w:basedOn w:val="12"/>
    <w:link w:val="2"/>
    <w:uiPriority w:val="0"/>
    <w:rPr>
      <w:rFonts w:ascii="Arial" w:hAnsi="Arial" w:eastAsia="幼圆" w:cs="Arial"/>
      <w:b/>
      <w:bCs/>
      <w:sz w:val="44"/>
      <w:szCs w:val="44"/>
    </w:rPr>
  </w:style>
  <w:style w:type="character" w:customStyle="1" w:styleId="18">
    <w:name w:val="标题 3 字符"/>
    <w:basedOn w:val="12"/>
    <w:link w:val="4"/>
    <w:qFormat/>
    <w:uiPriority w:val="0"/>
    <w:rPr>
      <w:rFonts w:ascii="Times New Roman" w:hAnsi="Times New Roman" w:eastAsia="宋体" w:cs="Times New Roman"/>
      <w:b/>
      <w:bCs/>
      <w:sz w:val="32"/>
      <w:szCs w:val="32"/>
    </w:rPr>
  </w:style>
  <w:style w:type="character" w:customStyle="1" w:styleId="19">
    <w:name w:val="纯文本 字符"/>
    <w:basedOn w:val="12"/>
    <w:link w:val="6"/>
    <w:qFormat/>
    <w:uiPriority w:val="0"/>
    <w:rPr>
      <w:rFonts w:ascii="宋体" w:hAnsi="Courier New" w:eastAsia="宋体" w:cs="Courier New"/>
      <w:szCs w:val="21"/>
    </w:rPr>
  </w:style>
  <w:style w:type="paragraph" w:customStyle="1" w:styleId="20">
    <w:name w:val="Default"/>
    <w:uiPriority w:val="0"/>
    <w:pPr>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1">
    <w:name w:val="Char"/>
    <w:basedOn w:val="1"/>
    <w:uiPriority w:val="0"/>
    <w:pPr>
      <w:tabs>
        <w:tab w:val="left" w:pos="360"/>
      </w:tabs>
    </w:pPr>
    <w:rPr>
      <w:rFonts w:ascii="Times New Roman" w:hAnsi="Times New Roman" w:eastAsia="宋体" w:cs="Times New Roman"/>
      <w:sz w:val="24"/>
      <w:szCs w:val="24"/>
    </w:rPr>
  </w:style>
  <w:style w:type="character" w:customStyle="1" w:styleId="22">
    <w:name w:val="页脚 字符"/>
    <w:basedOn w:val="12"/>
    <w:link w:val="7"/>
    <w:semiHidden/>
    <w:uiPriority w:val="99"/>
    <w:rPr>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1706</Words>
  <Characters>9727</Characters>
  <Lines>81</Lines>
  <Paragraphs>22</Paragraphs>
  <TotalTime>74</TotalTime>
  <ScaleCrop>false</ScaleCrop>
  <LinksUpToDate>false</LinksUpToDate>
  <CharactersWithSpaces>11411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2019-12-19T02:03:00Z</dcterms:created>
  <dc:creator>admin</dc:creator>
  <cp:lastModifiedBy>Administrator</cp:lastModifiedBy>
  <dcterms:modified xsi:type="dcterms:W3CDTF">2020-06-12T00:36:51Z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