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pacing w:before="0" w:beforeAutospacing="0" w:after="0" w:afterAutospacing="0" w:line="240" w:lineRule="auto"/>
        <w:ind w:firstLine="0"/>
        <w:jc w:val="left"/>
        <w:rPr>
          <w:rFonts w:hint="default" w:ascii="宋体" w:hAnsi="宋体" w:eastAsia="宋体" w:cs="宋体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pacing w:val="18"/>
          <w:kern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pStyle w:val="2"/>
        <w:widowControl/>
        <w:adjustRightInd w:val="0"/>
        <w:spacing w:before="0" w:beforeAutospacing="0" w:after="0" w:afterAutospacing="0" w:line="240" w:lineRule="auto"/>
        <w:ind w:firstLine="0"/>
        <w:jc w:val="center"/>
        <w:rPr>
          <w:rFonts w:hint="eastAsia" w:ascii="宋体" w:hAnsi="宋体" w:eastAsia="宋体" w:cs="宋体"/>
          <w:b/>
          <w:bCs/>
          <w:snapToGrid w:val="0"/>
          <w:color w:val="000000"/>
          <w:spacing w:val="18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spacing w:val="18"/>
          <w:kern w:val="0"/>
          <w:sz w:val="36"/>
          <w:szCs w:val="36"/>
          <w:lang w:val="en-US" w:eastAsia="zh-CN"/>
        </w:rPr>
        <w:t>通达学院固定资产清查整治工作抽查记录表</w:t>
      </w:r>
    </w:p>
    <w:p>
      <w:pPr>
        <w:adjustRightInd w:val="0"/>
        <w:spacing w:line="240" w:lineRule="auto"/>
        <w:ind w:firstLine="0"/>
        <w:jc w:val="left"/>
        <w:rPr>
          <w:rFonts w:hint="eastAsia"/>
          <w:b/>
          <w:sz w:val="24"/>
          <w:szCs w:val="24"/>
        </w:rPr>
      </w:pPr>
    </w:p>
    <w:p>
      <w:pPr>
        <w:adjustRightInd w:val="0"/>
        <w:spacing w:line="240" w:lineRule="auto"/>
        <w:ind w:firstLine="0"/>
        <w:jc w:val="left"/>
        <w:rPr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单位名称：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b/>
          <w:bCs/>
          <w:sz w:val="24"/>
          <w:szCs w:val="24"/>
        </w:rPr>
        <w:t>抽查</w:t>
      </w:r>
      <w:r>
        <w:rPr>
          <w:b/>
          <w:bCs/>
          <w:sz w:val="24"/>
          <w:szCs w:val="24"/>
        </w:rPr>
        <w:t>时间：    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276"/>
        <w:gridCol w:w="1376"/>
        <w:gridCol w:w="1317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13" w:type="dxa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资产编号及名称</w:t>
            </w:r>
          </w:p>
        </w:tc>
        <w:tc>
          <w:tcPr>
            <w:tcW w:w="1417" w:type="dxa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实物与账册是否一致</w:t>
            </w:r>
          </w:p>
        </w:tc>
        <w:tc>
          <w:tcPr>
            <w:tcW w:w="1276" w:type="dxa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资产标签是否粘贴</w:t>
            </w:r>
          </w:p>
        </w:tc>
        <w:tc>
          <w:tcPr>
            <w:tcW w:w="1376" w:type="dxa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使用状态是否正常</w:t>
            </w:r>
          </w:p>
        </w:tc>
        <w:tc>
          <w:tcPr>
            <w:tcW w:w="1317" w:type="dxa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保管人是否与账册相符</w:t>
            </w:r>
          </w:p>
        </w:tc>
        <w:tc>
          <w:tcPr>
            <w:tcW w:w="1497" w:type="dxa"/>
          </w:tcPr>
          <w:p>
            <w:pPr>
              <w:adjustRightInd w:val="0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存放地是否与账册一致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3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11.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8296" w:type="dxa"/>
            <w:gridSpan w:val="6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核查工作小组（签字）：</w:t>
            </w:r>
          </w:p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8" w:hRule="atLeast"/>
        </w:trPr>
        <w:tc>
          <w:tcPr>
            <w:tcW w:w="8296" w:type="dxa"/>
            <w:gridSpan w:val="6"/>
          </w:tcPr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管理单位责任人（签字）：</w:t>
            </w:r>
          </w:p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>
            <w:pPr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8"/>
          <w:szCs w:val="36"/>
        </w:rPr>
      </w:pPr>
    </w:p>
    <w:p>
      <w:pPr>
        <w:jc w:val="left"/>
        <w:rPr>
          <w:rFonts w:hint="eastAsia" w:ascii="宋体" w:hAnsi="宋体" w:eastAsia="宋体" w:cs="宋体"/>
          <w:sz w:val="28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M2MxNGYyY2Y4ZWRlYjk4Y2Q4M2ZjNjNhMjNhZWUifQ=="/>
  </w:docVars>
  <w:rsids>
    <w:rsidRoot w:val="3A26213F"/>
    <w:rsid w:val="3A26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135</Characters>
  <Lines>0</Lines>
  <Paragraphs>0</Paragraphs>
  <TotalTime>0</TotalTime>
  <ScaleCrop>false</ScaleCrop>
  <LinksUpToDate>false</LinksUpToDate>
  <CharactersWithSpaces>171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2023-06-06T07:50:00Z</dcterms:created>
  <dc:creator>娜娜</dc:creator>
  <cp:lastModifiedBy>娜娜</cp:lastModifiedBy>
  <dcterms:modified xsi:type="dcterms:W3CDTF">2023-06-06T07:51:38Z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17FA2A5270BD405F964AF1AA34BE301C</vt:lpwstr>
  </property>
</Properties>
</file>